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体外受精超净工作台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体外受精超净工作台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56707B5"/>
    <w:rsid w:val="229F7742"/>
    <w:rsid w:val="252D50E0"/>
    <w:rsid w:val="28A0228D"/>
    <w:rsid w:val="3BC81616"/>
    <w:rsid w:val="3DA07527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3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2025-05-13T09:23:55Z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eyJoZGlkIjoiMTdiNjUwYmY3Y2YyNmIwODIyM2JjOGY5MzA5MzMwYjMiLCJ1c2VySWQiOiIxMjUxNzIxMTIxIn0=</vt:lpwstr>
  </property>
</Properties>
</file>