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b/>
          <w:bCs/>
          <w:sz w:val="40"/>
          <w:szCs w:val="40"/>
        </w:rPr>
      </w:pPr>
      <w:r>
        <w:rPr>
          <w:rFonts w:hint="eastAsia"/>
          <w:b/>
          <w:bCs/>
          <w:sz w:val="40"/>
          <w:szCs w:val="40"/>
        </w:rPr>
        <w:t xml:space="preserve">  用户需求书</w:t>
      </w:r>
    </w:p>
    <w:p>
      <w:pPr>
        <w:rPr>
          <w:rFonts w:hint="eastAsia" w:ascii="仿宋" w:hAnsi="仿宋" w:eastAsia="仿宋" w:cs="仿宋"/>
          <w:sz w:val="24"/>
          <w:szCs w:val="24"/>
        </w:rPr>
      </w:pPr>
      <w:r>
        <w:rPr>
          <w:rFonts w:hint="eastAsia" w:ascii="宋体" w:hAnsi="宋体" w:eastAsia="宋体" w:cs="宋体"/>
          <w:sz w:val="24"/>
          <w:szCs w:val="24"/>
        </w:rPr>
        <w:t xml:space="preserve"> </w:t>
      </w:r>
      <w:r>
        <w:rPr>
          <w:rFonts w:hint="eastAsia" w:ascii="仿宋" w:hAnsi="仿宋" w:eastAsia="仿宋" w:cs="仿宋"/>
          <w:sz w:val="24"/>
          <w:szCs w:val="24"/>
        </w:rPr>
        <w:t xml:space="preserve">                           </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项目概况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采购需求</w:t>
      </w:r>
    </w:p>
    <w:tbl>
      <w:tblPr>
        <w:tblStyle w:val="4"/>
        <w:tblW w:w="8098" w:type="dxa"/>
        <w:jc w:val="center"/>
        <w:tblLayout w:type="fixed"/>
        <w:tblCellMar>
          <w:top w:w="15" w:type="dxa"/>
          <w:left w:w="15" w:type="dxa"/>
          <w:bottom w:w="15" w:type="dxa"/>
          <w:right w:w="15" w:type="dxa"/>
        </w:tblCellMar>
      </w:tblPr>
      <w:tblGrid>
        <w:gridCol w:w="866"/>
        <w:gridCol w:w="3411"/>
        <w:gridCol w:w="1034"/>
        <w:gridCol w:w="1085"/>
        <w:gridCol w:w="1702"/>
      </w:tblGrid>
      <w:tr>
        <w:tblPrEx>
          <w:tblCellMar>
            <w:top w:w="15" w:type="dxa"/>
            <w:left w:w="15" w:type="dxa"/>
            <w:bottom w:w="15" w:type="dxa"/>
            <w:right w:w="15" w:type="dxa"/>
          </w:tblCellMar>
        </w:tblPrEx>
        <w:trPr>
          <w:trHeight w:val="584" w:hRule="atLeast"/>
          <w:jc w:val="center"/>
        </w:trPr>
        <w:tc>
          <w:tcPr>
            <w:tcW w:w="86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采购控制金额</w:t>
            </w:r>
          </w:p>
        </w:tc>
      </w:tr>
      <w:tr>
        <w:tblPrEx>
          <w:tblCellMar>
            <w:top w:w="15" w:type="dxa"/>
            <w:left w:w="15" w:type="dxa"/>
            <w:bottom w:w="15" w:type="dxa"/>
            <w:right w:w="15" w:type="dxa"/>
          </w:tblCellMar>
        </w:tblPrEx>
        <w:trPr>
          <w:trHeight w:val="932"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3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分体空调清洗</w:t>
            </w:r>
            <w:r>
              <w:rPr>
                <w:rFonts w:hint="eastAsia" w:ascii="仿宋" w:hAnsi="仿宋" w:eastAsia="仿宋" w:cs="仿宋"/>
                <w:b/>
                <w:sz w:val="24"/>
                <w:szCs w:val="24"/>
              </w:rPr>
              <w:t>消毒服务</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项</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132000.00</w:t>
            </w:r>
          </w:p>
        </w:tc>
      </w:tr>
    </w:tbl>
    <w:p>
      <w:pPr>
        <w:numPr>
          <w:ilvl w:val="0"/>
          <w:numId w:val="0"/>
        </w:numPr>
        <w:ind w:left="420" w:leftChars="0"/>
        <w:rPr>
          <w:rFonts w:hint="eastAsia" w:ascii="仿宋" w:hAnsi="仿宋" w:eastAsia="仿宋" w:cs="仿宋"/>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项目基本情况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鉴于空调在使用运行过程中带有大量的粉尘污染物，这些污染物存在给细菌滋生提供了温床，导致空气质量下降和医疗环境存在安全隐患，特别在冠状病毒期间容易造成交叉传染，根据《关于印发新冠肺炎流行期间办公场所和公共场所空调通风系统运行管理指南的通知》要求及国家卫健委《公共场所集中空调通风系统卫生管理办法》、《公共场所集中空调通风系统清洗消毒规范》、《医院中央空调系统运行管理》</w:t>
      </w:r>
      <w:r>
        <w:rPr>
          <w:rFonts w:hint="eastAsia" w:ascii="仿宋" w:hAnsi="仿宋" w:eastAsia="仿宋" w:cs="仿宋"/>
          <w:sz w:val="24"/>
          <w:szCs w:val="24"/>
          <w:lang w:eastAsia="zh-CN"/>
        </w:rPr>
        <w:t>、</w:t>
      </w:r>
      <w:r>
        <w:rPr>
          <w:rFonts w:hint="eastAsia" w:ascii="仿宋" w:hAnsi="仿宋" w:eastAsia="仿宋" w:cs="仿宋"/>
          <w:sz w:val="24"/>
          <w:szCs w:val="24"/>
        </w:rPr>
        <w:t>三级甲等医院评审等规范，为持续</w:t>
      </w:r>
      <w:r>
        <w:rPr>
          <w:rFonts w:hint="eastAsia" w:ascii="仿宋" w:hAnsi="仿宋" w:eastAsia="仿宋" w:cs="仿宋"/>
          <w:sz w:val="24"/>
          <w:szCs w:val="24"/>
          <w:lang w:val="en-US" w:eastAsia="zh-CN"/>
        </w:rPr>
        <w:t>提高</w:t>
      </w:r>
      <w:r>
        <w:rPr>
          <w:rFonts w:hint="eastAsia" w:ascii="仿宋" w:hAnsi="仿宋" w:eastAsia="仿宋" w:cs="仿宋"/>
          <w:sz w:val="24"/>
          <w:szCs w:val="24"/>
        </w:rPr>
        <w:t>我院院内空气卫生质量，防控疫情，保障医疗安全，为医患提供一个健康的公共环境，</w:t>
      </w:r>
      <w:r>
        <w:rPr>
          <w:rFonts w:hint="eastAsia" w:ascii="仿宋" w:hAnsi="仿宋" w:eastAsia="仿宋" w:cs="仿宋"/>
          <w:sz w:val="24"/>
          <w:szCs w:val="24"/>
          <w:lang w:val="en-US" w:eastAsia="zh-CN"/>
        </w:rPr>
        <w:t>拟对院内空调</w:t>
      </w:r>
      <w:r>
        <w:rPr>
          <w:rFonts w:hint="eastAsia" w:ascii="仿宋" w:hAnsi="仿宋" w:eastAsia="仿宋" w:cs="仿宋"/>
          <w:sz w:val="24"/>
          <w:szCs w:val="24"/>
        </w:rPr>
        <w:t>卫生</w:t>
      </w:r>
      <w:r>
        <w:rPr>
          <w:rFonts w:hint="eastAsia" w:ascii="仿宋" w:hAnsi="仿宋" w:eastAsia="仿宋" w:cs="仿宋"/>
          <w:sz w:val="24"/>
          <w:szCs w:val="24"/>
          <w:lang w:val="en-US" w:eastAsia="zh-CN"/>
        </w:rPr>
        <w:t>清洗消毒</w:t>
      </w:r>
      <w:r>
        <w:rPr>
          <w:rFonts w:hint="eastAsia" w:ascii="仿宋" w:hAnsi="仿宋" w:eastAsia="仿宋" w:cs="仿宋"/>
          <w:sz w:val="24"/>
          <w:szCs w:val="24"/>
        </w:rPr>
        <w:t>以符合运行和卫生要求。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eastAsia="zh-CN"/>
        </w:rPr>
        <w:t>空调清洗区域</w:t>
      </w:r>
      <w:r>
        <w:rPr>
          <w:rFonts w:hint="eastAsia" w:ascii="仿宋" w:hAnsi="仿宋" w:eastAsia="仿宋" w:cs="仿宋"/>
          <w:sz w:val="24"/>
          <w:szCs w:val="24"/>
        </w:rPr>
        <w:t>包括：</w:t>
      </w:r>
      <w:r>
        <w:rPr>
          <w:rFonts w:hint="eastAsia" w:ascii="仿宋" w:hAnsi="仿宋" w:eastAsia="仿宋" w:cs="仿宋"/>
          <w:sz w:val="24"/>
          <w:szCs w:val="24"/>
          <w:lang w:val="en-US" w:eastAsia="zh-CN"/>
        </w:rPr>
        <w:t>行政楼、后勤办公楼、凤凰山病区等区域的分体</w:t>
      </w:r>
      <w:r>
        <w:rPr>
          <w:rFonts w:hint="eastAsia" w:ascii="仿宋" w:hAnsi="仿宋" w:eastAsia="仿宋" w:cs="仿宋"/>
          <w:sz w:val="24"/>
          <w:szCs w:val="24"/>
          <w:lang w:eastAsia="zh-CN"/>
        </w:rPr>
        <w:t>空调</w:t>
      </w:r>
      <w:r>
        <w:rPr>
          <w:rFonts w:hint="eastAsia" w:ascii="仿宋" w:hAnsi="仿宋" w:eastAsia="仿宋" w:cs="仿宋"/>
          <w:sz w:val="24"/>
          <w:szCs w:val="24"/>
        </w:rPr>
        <w:t>。</w:t>
      </w:r>
    </w:p>
    <w:p>
      <w:pPr>
        <w:rPr>
          <w:rFonts w:hint="eastAsia" w:ascii="仿宋" w:hAnsi="仿宋" w:eastAsia="仿宋" w:cs="仿宋"/>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项目范围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sz w:val="24"/>
          <w:szCs w:val="24"/>
          <w:lang w:eastAsia="zh-CN"/>
        </w:rPr>
      </w:pPr>
      <w:r>
        <w:rPr>
          <w:rFonts w:hint="eastAsia" w:ascii="仿宋" w:hAnsi="仿宋" w:eastAsia="仿宋" w:cs="仿宋"/>
          <w:b/>
          <w:sz w:val="24"/>
          <w:szCs w:val="24"/>
        </w:rPr>
        <w:t>主要设备及</w:t>
      </w:r>
      <w:r>
        <w:rPr>
          <w:rFonts w:hint="eastAsia" w:ascii="仿宋" w:hAnsi="仿宋" w:eastAsia="仿宋" w:cs="仿宋"/>
          <w:b/>
          <w:sz w:val="24"/>
          <w:szCs w:val="24"/>
          <w:lang w:eastAsia="zh-CN"/>
        </w:rPr>
        <w:t>数量</w:t>
      </w:r>
    </w:p>
    <w:tbl>
      <w:tblPr>
        <w:tblStyle w:val="5"/>
        <w:tblW w:w="7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819"/>
        <w:gridCol w:w="2032"/>
        <w:gridCol w:w="12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3" w:type="dxa"/>
            <w:noWrap w:val="0"/>
            <w:vAlign w:val="center"/>
          </w:tcPr>
          <w:p>
            <w:pPr>
              <w:spacing w:after="6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19" w:type="dxa"/>
            <w:noWrap w:val="0"/>
            <w:vAlign w:val="center"/>
          </w:tcPr>
          <w:p>
            <w:pPr>
              <w:spacing w:after="6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区域</w:t>
            </w:r>
          </w:p>
        </w:tc>
        <w:tc>
          <w:tcPr>
            <w:tcW w:w="2032" w:type="dxa"/>
            <w:noWrap w:val="0"/>
            <w:vAlign w:val="center"/>
          </w:tcPr>
          <w:p>
            <w:pPr>
              <w:spacing w:after="6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具体位置</w:t>
            </w:r>
          </w:p>
        </w:tc>
        <w:tc>
          <w:tcPr>
            <w:tcW w:w="1237" w:type="dxa"/>
            <w:noWrap w:val="0"/>
            <w:vAlign w:val="center"/>
          </w:tcPr>
          <w:p>
            <w:pPr>
              <w:spacing w:after="60"/>
              <w:jc w:val="center"/>
              <w:rPr>
                <w:rFonts w:hint="eastAsia" w:ascii="仿宋" w:hAnsi="仿宋" w:eastAsia="仿宋" w:cs="仿宋"/>
                <w:sz w:val="24"/>
                <w:szCs w:val="24"/>
              </w:rPr>
            </w:pPr>
            <w:r>
              <w:rPr>
                <w:rFonts w:hint="eastAsia" w:ascii="仿宋" w:hAnsi="仿宋" w:eastAsia="仿宋" w:cs="仿宋"/>
                <w:sz w:val="24"/>
                <w:szCs w:val="24"/>
              </w:rPr>
              <w:t>单位</w:t>
            </w:r>
          </w:p>
        </w:tc>
        <w:tc>
          <w:tcPr>
            <w:tcW w:w="1774" w:type="dxa"/>
            <w:noWrap w:val="0"/>
            <w:vAlign w:val="center"/>
          </w:tcPr>
          <w:p>
            <w:pPr>
              <w:spacing w:after="60"/>
              <w:jc w:val="center"/>
              <w:rPr>
                <w:rFonts w:hint="eastAsia" w:ascii="仿宋" w:hAnsi="仿宋" w:eastAsia="仿宋" w:cs="仿宋"/>
                <w:sz w:val="24"/>
                <w:szCs w:val="24"/>
                <w:lang w:eastAsia="zh-CN"/>
              </w:rPr>
            </w:pPr>
            <w:r>
              <w:rPr>
                <w:rFonts w:hint="eastAsia" w:ascii="仿宋" w:hAnsi="仿宋" w:eastAsia="仿宋" w:cs="仿宋"/>
                <w:sz w:val="24"/>
                <w:szCs w:val="24"/>
              </w:rPr>
              <w:t>数量</w:t>
            </w:r>
            <w:r>
              <w:rPr>
                <w:rFonts w:hint="eastAsia" w:ascii="仿宋" w:hAnsi="仿宋" w:eastAsia="仿宋" w:cs="仿宋"/>
                <w:sz w:val="24"/>
                <w:szCs w:val="24"/>
                <w:lang w:eastAsia="zh-CN"/>
              </w:rPr>
              <w:t>（约）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3" w:type="dxa"/>
            <w:noWrap w:val="0"/>
            <w:vAlign w:val="center"/>
          </w:tcPr>
          <w:p>
            <w:pPr>
              <w:spacing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19" w:type="dxa"/>
            <w:vMerge w:val="restart"/>
            <w:noWrap w:val="0"/>
            <w:vAlign w:val="center"/>
          </w:tcPr>
          <w:p>
            <w:pPr>
              <w:spacing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医院病区</w:t>
            </w:r>
          </w:p>
        </w:tc>
        <w:tc>
          <w:tcPr>
            <w:tcW w:w="2032" w:type="dxa"/>
            <w:noWrap w:val="0"/>
            <w:vAlign w:val="center"/>
          </w:tcPr>
          <w:p>
            <w:pPr>
              <w:spacing w:after="6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行政楼、医生公寓</w:t>
            </w:r>
          </w:p>
        </w:tc>
        <w:tc>
          <w:tcPr>
            <w:tcW w:w="1237" w:type="dxa"/>
            <w:noWrap w:val="0"/>
            <w:vAlign w:val="center"/>
          </w:tcPr>
          <w:p>
            <w:pPr>
              <w:spacing w:after="60"/>
              <w:jc w:val="center"/>
              <w:rPr>
                <w:rFonts w:hint="eastAsia" w:ascii="仿宋" w:hAnsi="仿宋" w:eastAsia="仿宋" w:cs="仿宋"/>
                <w:sz w:val="24"/>
                <w:szCs w:val="24"/>
              </w:rPr>
            </w:pPr>
            <w:r>
              <w:rPr>
                <w:rFonts w:hint="eastAsia" w:ascii="仿宋" w:hAnsi="仿宋" w:eastAsia="仿宋" w:cs="仿宋"/>
                <w:sz w:val="24"/>
                <w:szCs w:val="24"/>
              </w:rPr>
              <w:t>台</w:t>
            </w:r>
          </w:p>
        </w:tc>
        <w:tc>
          <w:tcPr>
            <w:tcW w:w="1774" w:type="dxa"/>
            <w:noWrap w:val="0"/>
            <w:vAlign w:val="center"/>
          </w:tcPr>
          <w:p>
            <w:pPr>
              <w:spacing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3" w:type="dxa"/>
            <w:noWrap w:val="0"/>
            <w:vAlign w:val="center"/>
          </w:tcPr>
          <w:p>
            <w:pPr>
              <w:spacing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819" w:type="dxa"/>
            <w:vMerge w:val="continue"/>
            <w:noWrap w:val="0"/>
            <w:vAlign w:val="center"/>
          </w:tcPr>
          <w:p>
            <w:pPr>
              <w:spacing w:after="60"/>
              <w:jc w:val="center"/>
              <w:rPr>
                <w:rFonts w:hint="eastAsia" w:ascii="仿宋" w:hAnsi="仿宋" w:eastAsia="仿宋" w:cs="仿宋"/>
                <w:sz w:val="24"/>
                <w:szCs w:val="24"/>
                <w:lang w:val="en-US" w:eastAsia="zh-CN"/>
              </w:rPr>
            </w:pPr>
          </w:p>
        </w:tc>
        <w:tc>
          <w:tcPr>
            <w:tcW w:w="2032" w:type="dxa"/>
            <w:noWrap w:val="0"/>
            <w:vAlign w:val="center"/>
          </w:tcPr>
          <w:p>
            <w:pPr>
              <w:spacing w:after="6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凤凰山病区</w:t>
            </w:r>
          </w:p>
        </w:tc>
        <w:tc>
          <w:tcPr>
            <w:tcW w:w="1237" w:type="dxa"/>
            <w:noWrap w:val="0"/>
            <w:vAlign w:val="center"/>
          </w:tcPr>
          <w:p>
            <w:pPr>
              <w:spacing w:after="6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台</w:t>
            </w:r>
          </w:p>
        </w:tc>
        <w:tc>
          <w:tcPr>
            <w:tcW w:w="1774" w:type="dxa"/>
            <w:noWrap w:val="0"/>
            <w:vAlign w:val="center"/>
          </w:tcPr>
          <w:p>
            <w:pPr>
              <w:spacing w:after="6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3" w:type="dxa"/>
            <w:noWrap w:val="0"/>
            <w:vAlign w:val="center"/>
          </w:tcPr>
          <w:p>
            <w:pPr>
              <w:spacing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819" w:type="dxa"/>
            <w:vMerge w:val="continue"/>
            <w:noWrap w:val="0"/>
            <w:vAlign w:val="center"/>
          </w:tcPr>
          <w:p>
            <w:pPr>
              <w:spacing w:after="60"/>
              <w:jc w:val="center"/>
              <w:rPr>
                <w:rFonts w:hint="eastAsia" w:ascii="仿宋" w:hAnsi="仿宋" w:eastAsia="仿宋" w:cs="仿宋"/>
                <w:sz w:val="24"/>
                <w:szCs w:val="24"/>
                <w:lang w:val="en-US" w:eastAsia="zh-CN"/>
              </w:rPr>
            </w:pPr>
          </w:p>
        </w:tc>
        <w:tc>
          <w:tcPr>
            <w:tcW w:w="2032" w:type="dxa"/>
            <w:noWrap w:val="0"/>
            <w:vAlign w:val="center"/>
          </w:tcPr>
          <w:p>
            <w:pPr>
              <w:spacing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后勤办公楼</w:t>
            </w:r>
          </w:p>
        </w:tc>
        <w:tc>
          <w:tcPr>
            <w:tcW w:w="1237" w:type="dxa"/>
            <w:noWrap w:val="0"/>
            <w:vAlign w:val="center"/>
          </w:tcPr>
          <w:p>
            <w:pPr>
              <w:spacing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774" w:type="dxa"/>
            <w:noWrap w:val="0"/>
            <w:vAlign w:val="center"/>
          </w:tcPr>
          <w:p>
            <w:pPr>
              <w:spacing w:after="6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991" w:type="dxa"/>
            <w:gridSpan w:val="4"/>
            <w:noWrap w:val="0"/>
            <w:vAlign w:val="center"/>
          </w:tcPr>
          <w:p>
            <w:pPr>
              <w:spacing w:after="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774" w:type="dxa"/>
            <w:noWrap w:val="0"/>
            <w:vAlign w:val="center"/>
          </w:tcPr>
          <w:p>
            <w:pPr>
              <w:spacing w:after="6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730</w:t>
            </w:r>
          </w:p>
        </w:tc>
      </w:tr>
    </w:tbl>
    <w:p>
      <w:pPr>
        <w:spacing w:beforeLines="50" w:line="360" w:lineRule="auto"/>
        <w:rPr>
          <w:rFonts w:hint="eastAsia" w:ascii="仿宋" w:hAnsi="仿宋" w:eastAsia="仿宋" w:cs="仿宋"/>
          <w:sz w:val="24"/>
          <w:szCs w:val="24"/>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清洗消毒技术要求</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总体要求</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snapToGrid w:val="0"/>
          <w:color w:val="auto"/>
          <w:kern w:val="0"/>
          <w:sz w:val="24"/>
          <w:szCs w:val="24"/>
        </w:rPr>
        <w:t>按照</w:t>
      </w:r>
      <w:r>
        <w:rPr>
          <w:rFonts w:hint="eastAsia" w:ascii="仿宋" w:hAnsi="仿宋" w:eastAsia="仿宋" w:cs="仿宋"/>
          <w:color w:val="auto"/>
          <w:sz w:val="24"/>
          <w:szCs w:val="24"/>
        </w:rPr>
        <w:t>《公共场所集中空调通风系统清洗消毒规范》（WS/T396-2012）的</w:t>
      </w:r>
      <w:r>
        <w:rPr>
          <w:rFonts w:hint="eastAsia" w:ascii="仿宋" w:hAnsi="仿宋" w:eastAsia="仿宋" w:cs="仿宋"/>
          <w:snapToGrid w:val="0"/>
          <w:color w:val="auto"/>
          <w:kern w:val="0"/>
          <w:sz w:val="24"/>
          <w:szCs w:val="24"/>
        </w:rPr>
        <w:t>标准</w:t>
      </w:r>
      <w:r>
        <w:rPr>
          <w:rFonts w:hint="eastAsia" w:ascii="仿宋" w:hAnsi="仿宋" w:eastAsia="仿宋" w:cs="仿宋"/>
          <w:color w:val="auto"/>
          <w:sz w:val="24"/>
          <w:szCs w:val="24"/>
        </w:rPr>
        <w:t>要求进行消毒和清洗消毒，达到医疗公共卫生标准。</w:t>
      </w:r>
      <w:bookmarkStart w:id="0" w:name="_Hlt475689873"/>
      <w:bookmarkEnd w:id="0"/>
      <w:r>
        <w:rPr>
          <w:rFonts w:hint="eastAsia" w:ascii="仿宋" w:hAnsi="仿宋" w:eastAsia="仿宋" w:cs="仿宋"/>
          <w:color w:val="auto"/>
          <w:sz w:val="24"/>
          <w:szCs w:val="24"/>
          <w:lang w:val="en-US" w:eastAsia="zh-CN"/>
        </w:rPr>
        <w:t>上述</w:t>
      </w:r>
      <w:r>
        <w:rPr>
          <w:rFonts w:hint="eastAsia" w:ascii="仿宋" w:hAnsi="仿宋" w:eastAsia="仿宋" w:cs="仿宋"/>
          <w:color w:val="auto"/>
          <w:sz w:val="24"/>
          <w:szCs w:val="24"/>
        </w:rPr>
        <w:t>清单为完成本项目的参考清单，包括但不限于表中内容，供应商可根据现场勘查情况做增加或修正，若供应商未做增补，视为清单已包含了完成本项目所需的所有物料。风管清洗后，风管内表面积尘残留量小于1g/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,风管内表面细菌总数、真菌总数应小于100CFU/m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，且致病微生物不得检出。</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本项目所</w:t>
      </w:r>
      <w:r>
        <w:rPr>
          <w:rFonts w:hint="eastAsia" w:ascii="仿宋" w:hAnsi="仿宋" w:eastAsia="仿宋" w:cs="仿宋"/>
          <w:color w:val="000000"/>
          <w:kern w:val="0"/>
          <w:sz w:val="24"/>
          <w:szCs w:val="24"/>
          <w:lang w:val="en-US" w:eastAsia="zh-CN"/>
        </w:rPr>
        <w:t>需要的清洗消毒材料、</w:t>
      </w:r>
      <w:r>
        <w:rPr>
          <w:rFonts w:hint="eastAsia" w:ascii="仿宋" w:hAnsi="仿宋" w:eastAsia="仿宋" w:cs="仿宋"/>
          <w:color w:val="000000"/>
          <w:kern w:val="0"/>
          <w:sz w:val="24"/>
          <w:szCs w:val="24"/>
        </w:rPr>
        <w:t xml:space="preserve">配件，投标人必须提供符合国家标准的全新材料。 </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清洗项目的实施必须使</w:t>
      </w:r>
      <w:r>
        <w:rPr>
          <w:rFonts w:hint="eastAsia" w:ascii="仿宋" w:hAnsi="仿宋" w:eastAsia="仿宋" w:cs="仿宋"/>
          <w:color w:val="000000"/>
          <w:kern w:val="0"/>
          <w:sz w:val="24"/>
          <w:szCs w:val="24"/>
          <w:lang w:val="en-US" w:eastAsia="zh-CN"/>
        </w:rPr>
        <w:t>项目范围清单内</w:t>
      </w:r>
      <w:r>
        <w:rPr>
          <w:rFonts w:hint="eastAsia" w:ascii="仿宋" w:hAnsi="仿宋" w:eastAsia="仿宋" w:cs="仿宋"/>
          <w:color w:val="000000"/>
          <w:kern w:val="0"/>
          <w:sz w:val="24"/>
          <w:szCs w:val="24"/>
        </w:rPr>
        <w:t>空调</w:t>
      </w:r>
      <w:r>
        <w:rPr>
          <w:rFonts w:hint="eastAsia" w:ascii="仿宋" w:hAnsi="仿宋" w:eastAsia="仿宋" w:cs="仿宋"/>
          <w:color w:val="000000"/>
          <w:kern w:val="0"/>
          <w:sz w:val="24"/>
          <w:szCs w:val="24"/>
          <w:lang w:val="en-US" w:eastAsia="zh-CN"/>
        </w:rPr>
        <w:t>风口</w:t>
      </w:r>
      <w:r>
        <w:rPr>
          <w:rFonts w:hint="eastAsia" w:ascii="仿宋" w:hAnsi="仿宋" w:eastAsia="仿宋" w:cs="仿宋"/>
          <w:color w:val="000000"/>
          <w:kern w:val="0"/>
          <w:sz w:val="24"/>
          <w:szCs w:val="24"/>
        </w:rPr>
        <w:t>及其附属设备经过清洗消毒后达到国家卫生部门的有关规范、标准的要求。</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投标人所使用的技术(包括设备、药品等)，必须是在其过去承接的</w:t>
      </w:r>
      <w:r>
        <w:rPr>
          <w:rFonts w:hint="eastAsia" w:ascii="仿宋" w:hAnsi="仿宋" w:eastAsia="仿宋" w:cs="仿宋"/>
          <w:color w:val="000000"/>
          <w:kern w:val="0"/>
          <w:sz w:val="24"/>
          <w:szCs w:val="24"/>
          <w:lang w:val="en-US" w:eastAsia="zh-CN"/>
        </w:rPr>
        <w:t>服务项目</w:t>
      </w:r>
      <w:r>
        <w:rPr>
          <w:rFonts w:hint="eastAsia" w:ascii="仿宋" w:hAnsi="仿宋" w:eastAsia="仿宋" w:cs="仿宋"/>
          <w:color w:val="000000"/>
          <w:kern w:val="0"/>
          <w:sz w:val="24"/>
          <w:szCs w:val="24"/>
        </w:rPr>
        <w:t>中使用过的成熟技术，不允许使用未成熟的，新研制开发的技术。</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投标人须说明在其服务过程中,采用的清洗和消毒化学药品的名称及需提供相关药水的</w:t>
      </w:r>
      <w:r>
        <w:rPr>
          <w:rFonts w:hint="eastAsia" w:ascii="仿宋" w:hAnsi="仿宋" w:eastAsia="仿宋" w:cs="仿宋"/>
          <w:color w:val="000000"/>
          <w:kern w:val="0"/>
          <w:sz w:val="24"/>
          <w:szCs w:val="24"/>
          <w:highlight w:val="none"/>
        </w:rPr>
        <w:t>《吸入毒性试验检测报告》、《致敏试验检测报告》、《消毒液的急性经口毒性试验》报告）</w:t>
      </w:r>
      <w:r>
        <w:rPr>
          <w:rFonts w:hint="eastAsia" w:ascii="仿宋" w:hAnsi="仿宋" w:eastAsia="仿宋" w:cs="仿宋"/>
          <w:color w:val="000000"/>
          <w:kern w:val="0"/>
          <w:sz w:val="24"/>
          <w:szCs w:val="24"/>
        </w:rPr>
        <w:t>、消毒产品生产企业卫生许可证、消毒产品卫生安全评估报告作为证明资料，提供进货证明文件等。</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从空调系统清除出来的所有污染物应</w:t>
      </w:r>
      <w:r>
        <w:rPr>
          <w:rFonts w:hint="eastAsia" w:ascii="仿宋" w:hAnsi="仿宋" w:eastAsia="仿宋" w:cs="仿宋"/>
          <w:color w:val="000000"/>
          <w:kern w:val="0"/>
          <w:sz w:val="24"/>
          <w:szCs w:val="24"/>
          <w:lang w:val="en-US" w:eastAsia="zh-CN"/>
        </w:rPr>
        <w:t>集中处理</w:t>
      </w:r>
      <w:r>
        <w:rPr>
          <w:rFonts w:hint="eastAsia" w:ascii="仿宋" w:hAnsi="仿宋" w:eastAsia="仿宋" w:cs="仿宋"/>
          <w:color w:val="000000"/>
          <w:kern w:val="0"/>
          <w:sz w:val="24"/>
          <w:szCs w:val="24"/>
        </w:rPr>
        <w:t>，并按国家有关规定进行处理，避免污染扩散造成二次污染。</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清洗施工单位应遵守有关的安全规定，制定安全措施，保护施工期人员及建筑物内人员的安全，并保护好环境。</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清洗时不得影响空调系统的正常运行，确保空调系统运行安全。 </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安全作业环境，控制杜绝“扬尘”现象，不污染室内环境。</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不得影响</w:t>
      </w:r>
      <w:r>
        <w:rPr>
          <w:rFonts w:hint="eastAsia" w:ascii="仿宋" w:hAnsi="仿宋" w:eastAsia="仿宋" w:cs="仿宋"/>
          <w:color w:val="000000"/>
          <w:kern w:val="0"/>
          <w:sz w:val="24"/>
          <w:szCs w:val="24"/>
          <w:lang w:val="en-US" w:eastAsia="zh-CN"/>
        </w:rPr>
        <w:t>医院</w:t>
      </w:r>
      <w:r>
        <w:rPr>
          <w:rFonts w:hint="eastAsia" w:ascii="仿宋" w:hAnsi="仿宋" w:eastAsia="仿宋" w:cs="仿宋"/>
          <w:color w:val="000000"/>
          <w:kern w:val="0"/>
          <w:sz w:val="24"/>
          <w:szCs w:val="24"/>
        </w:rPr>
        <w:t>的正常工作，也不得影响空调正常的使用。</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达到国家对空调清洗、消毒的技术标准要求。</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清洗服务不得对大楼的原有设备设施造成损害。</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清洗服务过程及清洗效果须符合国家标准和规范的规定要求。</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质量标准</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标准判定指标：残留尘粒量应在1.0g/m</w:t>
      </w:r>
      <w:r>
        <w:rPr>
          <w:rFonts w:hint="eastAsia" w:ascii="仿宋" w:hAnsi="仿宋" w:eastAsia="仿宋" w:cs="仿宋"/>
          <w:color w:val="000000"/>
          <w:kern w:val="0"/>
          <w:sz w:val="24"/>
          <w:szCs w:val="24"/>
          <w:vertAlign w:val="superscript"/>
        </w:rPr>
        <w:t>2</w:t>
      </w:r>
      <w:r>
        <w:rPr>
          <w:rFonts w:hint="eastAsia" w:ascii="仿宋" w:hAnsi="仿宋" w:eastAsia="仿宋" w:cs="仿宋"/>
          <w:color w:val="000000"/>
          <w:kern w:val="0"/>
          <w:sz w:val="24"/>
          <w:szCs w:val="24"/>
        </w:rPr>
        <w:t>以下。 相关国家标准及规范 《公共场所集中空调通风系统卫生规范》（WS394-2012）《公共场所集中空调通风系统清洗规范》（WST396-2012）</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检测：委托具备国家检测资格的第三方检测机构在中央空调通风系统清洗消毒后，取样进行检测通风管道内表面积尘量。</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验收要求：</w:t>
      </w:r>
      <w:r>
        <w:rPr>
          <w:rFonts w:hint="eastAsia" w:ascii="仿宋" w:hAnsi="仿宋" w:eastAsia="仿宋" w:cs="仿宋"/>
          <w:color w:val="000000"/>
          <w:kern w:val="0"/>
          <w:sz w:val="24"/>
          <w:szCs w:val="24"/>
          <w:lang w:val="en-US" w:eastAsia="zh-CN"/>
        </w:rPr>
        <w:t>随机抽取清洗数量的5%，</w:t>
      </w:r>
      <w:r>
        <w:rPr>
          <w:rFonts w:hint="eastAsia" w:ascii="仿宋" w:hAnsi="仿宋" w:eastAsia="仿宋" w:cs="仿宋"/>
          <w:color w:val="000000"/>
          <w:kern w:val="0"/>
          <w:sz w:val="24"/>
          <w:szCs w:val="24"/>
        </w:rPr>
        <w:t>以疾病预防控制中心或具备国家检测资格的第三方检测机构出具清洗后合格检测报告作为依据，中标方配合甲方进行本服务的项目验收，并协同甲方签署验收报告。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lang w:val="en-US" w:eastAsia="zh-CN"/>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eastAsia="zh-CN"/>
        </w:rPr>
        <w:t>服务要求</w:t>
      </w:r>
    </w:p>
    <w:p>
      <w:pPr>
        <w:autoSpaceDE w:val="0"/>
        <w:autoSpaceDN w:val="0"/>
        <w:adjustRightInd w:val="0"/>
        <w:spacing w:after="60"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1、中标人在未征得采购人同意的情况下，不得将本项目转包或分包。</w:t>
      </w:r>
    </w:p>
    <w:p>
      <w:pPr>
        <w:autoSpaceDE w:val="0"/>
        <w:autoSpaceDN w:val="0"/>
        <w:adjustRightInd w:val="0"/>
        <w:spacing w:after="60"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2、中标人应根据本项目特点制订详细的服务方案和工作计划并报采购人备案、接受采购人的监督。如采购人有理由认为相关的服务方案、计划有必要进行修改的，中标人应根据要求进行修改。</w:t>
      </w:r>
    </w:p>
    <w:p>
      <w:pPr>
        <w:autoSpaceDE w:val="0"/>
        <w:autoSpaceDN w:val="0"/>
        <w:adjustRightInd w:val="0"/>
        <w:spacing w:after="6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3、中标人应根据本项目设备的特点配置足够的设备、工具和劳保用品。同时应为项目工作人员配备统一的工作制服和标识。</w:t>
      </w:r>
    </w:p>
    <w:p>
      <w:pPr>
        <w:autoSpaceDE w:val="0"/>
        <w:autoSpaceDN w:val="0"/>
        <w:adjustRightInd w:val="0"/>
        <w:spacing w:after="60" w:line="380" w:lineRule="exact"/>
        <w:ind w:firstLine="480" w:firstLineChars="200"/>
        <w:jc w:val="left"/>
        <w:rPr>
          <w:rFonts w:hint="eastAsia" w:ascii="仿宋" w:hAnsi="仿宋" w:eastAsia="仿宋" w:cs="仿宋"/>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eastAsia="zh-CN"/>
        </w:rPr>
        <w:t>商务要求</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费用</w:t>
      </w:r>
      <w:r>
        <w:rPr>
          <w:rFonts w:hint="eastAsia" w:ascii="仿宋" w:hAnsi="仿宋" w:eastAsia="仿宋" w:cs="仿宋"/>
          <w:sz w:val="24"/>
          <w:szCs w:val="24"/>
          <w:lang w:val="en-US" w:eastAsia="zh-CN"/>
        </w:rPr>
        <w:t>组成</w:t>
      </w:r>
      <w:r>
        <w:rPr>
          <w:rFonts w:hint="eastAsia" w:ascii="仿宋" w:hAnsi="仿宋" w:eastAsia="仿宋" w:cs="仿宋"/>
          <w:sz w:val="24"/>
          <w:szCs w:val="24"/>
        </w:rPr>
        <w:t>：</w:t>
      </w:r>
    </w:p>
    <w:p>
      <w:pPr>
        <w:autoSpaceDE w:val="0"/>
        <w:autoSpaceDN w:val="0"/>
        <w:adjustRightInd w:val="0"/>
        <w:spacing w:after="6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本项目报价须包含货物运输、现场保管、安装调试、耗材</w:t>
      </w:r>
      <w:r>
        <w:rPr>
          <w:rFonts w:hint="eastAsia" w:ascii="仿宋" w:hAnsi="仿宋" w:eastAsia="仿宋" w:cs="仿宋"/>
          <w:sz w:val="24"/>
          <w:szCs w:val="24"/>
          <w:lang w:eastAsia="zh-CN"/>
        </w:rPr>
        <w:t>药剂</w:t>
      </w:r>
      <w:r>
        <w:rPr>
          <w:rFonts w:hint="eastAsia" w:ascii="仿宋" w:hAnsi="仿宋" w:eastAsia="仿宋" w:cs="仿宋"/>
          <w:sz w:val="24"/>
          <w:szCs w:val="24"/>
          <w:lang w:val="en-US" w:eastAsia="zh-CN"/>
        </w:rPr>
        <w:t>、清洗消毒</w:t>
      </w:r>
      <w:r>
        <w:rPr>
          <w:rFonts w:hint="eastAsia" w:ascii="仿宋" w:hAnsi="仿宋" w:eastAsia="仿宋" w:cs="仿宋"/>
          <w:sz w:val="24"/>
          <w:szCs w:val="24"/>
          <w:lang w:eastAsia="zh-CN"/>
        </w:rPr>
        <w:t>所需耗材</w:t>
      </w:r>
      <w:r>
        <w:rPr>
          <w:rFonts w:hint="eastAsia" w:ascii="仿宋" w:hAnsi="仿宋" w:eastAsia="仿宋" w:cs="仿宋"/>
          <w:sz w:val="24"/>
          <w:szCs w:val="24"/>
          <w:lang w:val="en-US" w:eastAsia="zh-CN"/>
        </w:rPr>
        <w:t>、</w:t>
      </w:r>
      <w:r>
        <w:rPr>
          <w:rFonts w:hint="eastAsia" w:ascii="仿宋" w:hAnsi="仿宋" w:eastAsia="仿宋" w:cs="仿宋"/>
          <w:sz w:val="24"/>
          <w:szCs w:val="24"/>
        </w:rPr>
        <w:t>检测</w:t>
      </w:r>
      <w:r>
        <w:rPr>
          <w:rFonts w:hint="eastAsia" w:ascii="仿宋" w:hAnsi="仿宋" w:eastAsia="仿宋" w:cs="仿宋"/>
          <w:sz w:val="24"/>
          <w:szCs w:val="24"/>
          <w:lang w:val="en-US" w:eastAsia="zh-CN"/>
        </w:rPr>
        <w:t>报告</w:t>
      </w:r>
      <w:r>
        <w:rPr>
          <w:rFonts w:hint="eastAsia" w:ascii="仿宋" w:hAnsi="仿宋" w:eastAsia="仿宋" w:cs="仿宋"/>
          <w:sz w:val="24"/>
          <w:szCs w:val="24"/>
        </w:rPr>
        <w:t>、培训费</w:t>
      </w:r>
      <w:r>
        <w:rPr>
          <w:rFonts w:hint="eastAsia" w:ascii="仿宋" w:hAnsi="仿宋" w:eastAsia="仿宋" w:cs="仿宋"/>
          <w:sz w:val="24"/>
          <w:szCs w:val="24"/>
          <w:lang w:eastAsia="zh-CN"/>
        </w:rPr>
        <w:t>、</w:t>
      </w:r>
      <w:r>
        <w:rPr>
          <w:rFonts w:hint="eastAsia" w:ascii="仿宋" w:hAnsi="仿宋" w:eastAsia="仿宋" w:cs="仿宋"/>
          <w:sz w:val="24"/>
          <w:szCs w:val="24"/>
        </w:rPr>
        <w:t>税金</w:t>
      </w:r>
      <w:r>
        <w:rPr>
          <w:rFonts w:hint="eastAsia" w:ascii="仿宋" w:hAnsi="仿宋" w:eastAsia="仿宋" w:cs="仿宋"/>
          <w:sz w:val="24"/>
          <w:szCs w:val="24"/>
          <w:lang w:val="en-US" w:eastAsia="zh-CN"/>
        </w:rPr>
        <w:t>及配件</w:t>
      </w:r>
      <w:r>
        <w:rPr>
          <w:rFonts w:hint="eastAsia" w:ascii="仿宋" w:hAnsi="仿宋" w:eastAsia="仿宋" w:cs="仿宋"/>
          <w:sz w:val="24"/>
          <w:szCs w:val="24"/>
        </w:rPr>
        <w:t>等</w:t>
      </w:r>
      <w:r>
        <w:rPr>
          <w:rFonts w:hint="eastAsia" w:ascii="仿宋" w:hAnsi="仿宋" w:eastAsia="仿宋" w:cs="仿宋"/>
          <w:sz w:val="24"/>
          <w:szCs w:val="24"/>
          <w:lang w:val="en-US" w:eastAsia="zh-CN"/>
        </w:rPr>
        <w:t>一切</w:t>
      </w:r>
      <w:r>
        <w:rPr>
          <w:rFonts w:hint="eastAsia" w:ascii="仿宋" w:hAnsi="仿宋" w:eastAsia="仿宋" w:cs="仿宋"/>
          <w:sz w:val="24"/>
          <w:szCs w:val="24"/>
        </w:rPr>
        <w:t>费用。</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人员要求：</w:t>
      </w:r>
    </w:p>
    <w:p>
      <w:pPr>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项目管理人要求：具有职业技能鉴定中心颁发的制冷维修技师证书；熟悉国家或行业有关标准；具有沟通、团结协作的能力等。</w:t>
      </w:r>
    </w:p>
    <w:p>
      <w:pPr>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项目团队人员要求：具有具有六人及以上持有从事高空作业</w:t>
      </w:r>
      <w:r>
        <w:rPr>
          <w:rFonts w:hint="eastAsia" w:ascii="仿宋" w:hAnsi="仿宋" w:eastAsia="仿宋" w:cs="仿宋"/>
          <w:color w:val="000000"/>
          <w:kern w:val="0"/>
          <w:sz w:val="24"/>
          <w:szCs w:val="24"/>
          <w:highlight w:val="none"/>
          <w:lang w:val="en-US" w:eastAsia="zh-CN"/>
        </w:rPr>
        <w:t>相关资格证书</w:t>
      </w:r>
      <w:r>
        <w:rPr>
          <w:rFonts w:hint="eastAsia" w:ascii="仿宋" w:hAnsi="仿宋" w:eastAsia="仿宋" w:cs="仿宋"/>
          <w:color w:val="000000"/>
          <w:kern w:val="0"/>
          <w:sz w:val="24"/>
          <w:szCs w:val="24"/>
          <w:highlight w:val="none"/>
        </w:rPr>
        <w:t>。</w:t>
      </w:r>
    </w:p>
    <w:p>
      <w:pPr>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中标人应为本项目配置由不少于</w:t>
      </w:r>
      <w:r>
        <w:rPr>
          <w:rFonts w:hint="eastAsia" w:ascii="仿宋" w:hAnsi="仿宋" w:eastAsia="仿宋" w:cs="仿宋"/>
          <w:sz w:val="24"/>
          <w:szCs w:val="24"/>
          <w:lang w:val="en-US" w:eastAsia="zh-CN"/>
        </w:rPr>
        <w:t>6</w:t>
      </w:r>
      <w:r>
        <w:rPr>
          <w:rFonts w:hint="eastAsia" w:ascii="仿宋" w:hAnsi="仿宋" w:eastAsia="仿宋" w:cs="仿宋"/>
          <w:sz w:val="24"/>
          <w:szCs w:val="24"/>
        </w:rPr>
        <w:t>人组成的服务队伍并接受医院后勤部的</w:t>
      </w:r>
      <w:r>
        <w:rPr>
          <w:rFonts w:hint="eastAsia" w:ascii="仿宋" w:hAnsi="仿宋" w:eastAsia="仿宋" w:cs="仿宋"/>
          <w:sz w:val="24"/>
          <w:szCs w:val="24"/>
          <w:lang w:val="en-US" w:eastAsia="zh-CN"/>
        </w:rPr>
        <w:t>监管和</w:t>
      </w:r>
      <w:r>
        <w:rPr>
          <w:rFonts w:hint="eastAsia" w:ascii="仿宋" w:hAnsi="仿宋" w:eastAsia="仿宋" w:cs="仿宋"/>
          <w:sz w:val="24"/>
          <w:szCs w:val="24"/>
        </w:rPr>
        <w:t>考核</w:t>
      </w:r>
      <w:r>
        <w:rPr>
          <w:rFonts w:hint="eastAsia" w:ascii="仿宋" w:hAnsi="仿宋" w:eastAsia="仿宋" w:cs="仿宋"/>
          <w:sz w:val="24"/>
          <w:szCs w:val="24"/>
          <w:lang w:eastAsia="zh-CN"/>
        </w:rPr>
        <w:t>。</w:t>
      </w:r>
    </w:p>
    <w:p>
      <w:pPr>
        <w:autoSpaceDE w:val="0"/>
        <w:autoSpaceDN w:val="0"/>
        <w:adjustRightInd w:val="0"/>
        <w:spacing w:after="6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说明：本项要求仅是最基本的要求，在本项目服务期内，中标人应根据</w:t>
      </w:r>
      <w:r>
        <w:rPr>
          <w:rFonts w:hint="eastAsia" w:ascii="仿宋" w:hAnsi="仿宋" w:eastAsia="仿宋" w:cs="仿宋"/>
          <w:sz w:val="24"/>
          <w:szCs w:val="24"/>
          <w:lang w:val="en-US" w:eastAsia="zh-CN"/>
        </w:rPr>
        <w:t>清洗消毒</w:t>
      </w:r>
      <w:r>
        <w:rPr>
          <w:rFonts w:hint="eastAsia" w:ascii="仿宋" w:hAnsi="仿宋" w:eastAsia="仿宋" w:cs="仿宋"/>
          <w:sz w:val="24"/>
          <w:szCs w:val="24"/>
        </w:rPr>
        <w:t>工作的具体情况调配人员，以确保服务工作快捷、有效。</w:t>
      </w:r>
    </w:p>
    <w:p>
      <w:pPr>
        <w:numPr>
          <w:ilvl w:val="0"/>
          <w:numId w:val="1"/>
        </w:numPr>
        <w:autoSpaceDE w:val="0"/>
        <w:autoSpaceDN w:val="0"/>
        <w:adjustRightInd w:val="0"/>
        <w:spacing w:after="60" w:line="360" w:lineRule="auto"/>
        <w:ind w:left="0" w:leftChars="0" w:firstLine="482"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双方责任与义务</w:t>
      </w:r>
    </w:p>
    <w:p>
      <w:pPr>
        <w:numPr>
          <w:ilvl w:val="0"/>
          <w:numId w:val="0"/>
        </w:numPr>
        <w:autoSpaceDE w:val="0"/>
        <w:autoSpaceDN w:val="0"/>
        <w:adjustRightInd w:val="0"/>
        <w:spacing w:after="60" w:line="360" w:lineRule="auto"/>
        <w:ind w:left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（一）、院方责任与义务</w:t>
      </w:r>
    </w:p>
    <w:p>
      <w:pPr>
        <w:pStyle w:val="2"/>
        <w:numPr>
          <w:ilvl w:val="0"/>
          <w:numId w:val="10"/>
        </w:numPr>
        <w:ind w:left="0" w:leftChars="0" w:firstLine="42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院方指派现场代表，对现场质量、安全、进度进行检查和监督，确保工作顺利进行。</w:t>
      </w:r>
    </w:p>
    <w:p>
      <w:pPr>
        <w:pStyle w:val="2"/>
        <w:numPr>
          <w:ilvl w:val="0"/>
          <w:numId w:val="10"/>
        </w:numPr>
        <w:ind w:left="0" w:leftChars="0" w:firstLine="42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清洗消毒服务可能影响病房或科室的，院方应事先协调做好配合安排。</w:t>
      </w:r>
    </w:p>
    <w:p>
      <w:pPr>
        <w:pStyle w:val="2"/>
        <w:numPr>
          <w:ilvl w:val="0"/>
          <w:numId w:val="10"/>
        </w:numPr>
        <w:ind w:left="0" w:leftChars="0" w:firstLine="42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院方需协调提供场地存放服务方清洗设备。</w:t>
      </w:r>
    </w:p>
    <w:p>
      <w:pPr>
        <w:pStyle w:val="2"/>
        <w:numPr>
          <w:ilvl w:val="0"/>
          <w:numId w:val="10"/>
        </w:numPr>
        <w:ind w:left="0" w:leftChars="0" w:firstLine="420" w:firstLineChars="0"/>
        <w:rPr>
          <w:rFonts w:hint="eastAsia" w:ascii="仿宋" w:hAnsi="仿宋" w:eastAsia="仿宋" w:cs="仿宋"/>
          <w:b/>
          <w:bCs w:val="0"/>
          <w:sz w:val="24"/>
          <w:szCs w:val="24"/>
          <w:lang w:val="en-US" w:eastAsia="zh-CN"/>
        </w:rPr>
      </w:pPr>
      <w:r>
        <w:rPr>
          <w:rFonts w:hint="eastAsia" w:ascii="仿宋" w:hAnsi="仿宋" w:eastAsia="仿宋" w:cs="仿宋"/>
          <w:color w:val="000000"/>
          <w:kern w:val="2"/>
          <w:sz w:val="24"/>
          <w:szCs w:val="24"/>
          <w:lang w:val="en-US" w:eastAsia="zh-CN" w:bidi="ar-SA"/>
        </w:rPr>
        <w:t>院方需提供清洗消毒施工中用水用电配合。</w:t>
      </w:r>
    </w:p>
    <w:p>
      <w:pPr>
        <w:pStyle w:val="2"/>
        <w:numPr>
          <w:ilvl w:val="0"/>
          <w:numId w:val="0"/>
        </w:numPr>
        <w:ind w:left="420" w:leftChars="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（二）、服务方责任义务</w:t>
      </w:r>
    </w:p>
    <w:p>
      <w:pPr>
        <w:pStyle w:val="2"/>
        <w:numPr>
          <w:ilvl w:val="0"/>
          <w:numId w:val="11"/>
        </w:numPr>
        <w:ind w:left="0" w:leftChars="0" w:firstLine="42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服务方负责制定具体施工计划，按甲方要求的质量、时间和进度进行实施，保证质量完成本项目内容的清洗。</w:t>
      </w:r>
    </w:p>
    <w:p>
      <w:pPr>
        <w:pStyle w:val="2"/>
        <w:numPr>
          <w:ilvl w:val="0"/>
          <w:numId w:val="11"/>
        </w:numPr>
        <w:ind w:left="0" w:leftChars="0" w:firstLine="42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服务方每次工作完工退场时，须检查、清理现场，复原系统运行正常状态，与院方人员沟通交接清楚后方可退场。</w:t>
      </w:r>
    </w:p>
    <w:p>
      <w:pPr>
        <w:pStyle w:val="2"/>
        <w:numPr>
          <w:ilvl w:val="0"/>
          <w:numId w:val="11"/>
        </w:numPr>
        <w:ind w:left="0" w:leftChars="0" w:firstLine="42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服务方人员必须佩戴有效出入证件配合甲方检查登记后进入现场施工，服从院方的协调指挥。</w:t>
      </w:r>
    </w:p>
    <w:p>
      <w:pPr>
        <w:pStyle w:val="2"/>
        <w:numPr>
          <w:ilvl w:val="0"/>
          <w:numId w:val="11"/>
        </w:numPr>
        <w:ind w:left="0" w:leftChars="0" w:firstLine="42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服务方人员未经院方同意不能使用院方的设施设备。清洗保养过程中必须保护好院方现有的设备设施和做好成品保护，如因此造成损坏，服务方要承担一切责任和经济赔偿。</w:t>
      </w:r>
    </w:p>
    <w:p>
      <w:pPr>
        <w:pStyle w:val="2"/>
        <w:numPr>
          <w:ilvl w:val="0"/>
          <w:numId w:val="11"/>
        </w:numPr>
        <w:ind w:left="0" w:leftChars="0" w:firstLine="42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服务方在施工中必须做到安全、文明施工，由于服务方人员在施工过程中违反有关安全操作规程、消防安全条例导致发生安全或火灾事故，服务方应承担由此引发的一切经济损失及一切责任。</w:t>
      </w:r>
    </w:p>
    <w:p>
      <w:pPr>
        <w:pStyle w:val="2"/>
        <w:numPr>
          <w:ilvl w:val="0"/>
          <w:numId w:val="11"/>
        </w:numPr>
        <w:ind w:left="0" w:leftChars="0" w:firstLine="42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服务方在施工中必须做好安全警示标志。</w:t>
      </w:r>
    </w:p>
    <w:p>
      <w:pPr>
        <w:pStyle w:val="2"/>
        <w:numPr>
          <w:ilvl w:val="0"/>
          <w:numId w:val="11"/>
        </w:numPr>
        <w:ind w:left="0" w:leftChars="0" w:firstLine="42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服务方应安排持有相关操作资质的、具有丰富经验的专业技术人员，配备专用工作服、护目镜、手套、安全带等安全劳保用品，对院方的空调通风系统设施实行正确清洗、消毒工作。</w:t>
      </w:r>
    </w:p>
    <w:p>
      <w:pPr>
        <w:pStyle w:val="2"/>
        <w:numPr>
          <w:ilvl w:val="0"/>
          <w:numId w:val="11"/>
        </w:numPr>
        <w:ind w:left="0" w:leftChars="0" w:firstLine="42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服务方不得使用对设备有腐蚀性的清洗消毒药水，使用的清洗药剂要彻底冲洗干净。质保期内如果因清洗药剂造成的设备腐蚀损坏由服务方承担相应的维修更换费用。</w:t>
      </w:r>
    </w:p>
    <w:p>
      <w:pPr>
        <w:autoSpaceDE w:val="0"/>
        <w:autoSpaceDN w:val="0"/>
        <w:adjustRightInd w:val="0"/>
        <w:spacing w:after="60" w:line="360" w:lineRule="auto"/>
        <w:jc w:val="left"/>
        <w:rPr>
          <w:rFonts w:hint="eastAsia" w:ascii="仿宋" w:hAnsi="仿宋" w:eastAsia="仿宋" w:cs="仿宋"/>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rPr>
      </w:pPr>
      <w:bookmarkStart w:id="1" w:name="_Toc452027192"/>
      <w:r>
        <w:rPr>
          <w:rFonts w:hint="eastAsia" w:ascii="仿宋" w:hAnsi="仿宋" w:eastAsia="仿宋" w:cs="仿宋"/>
          <w:b/>
          <w:bCs/>
          <w:sz w:val="24"/>
          <w:szCs w:val="24"/>
        </w:rPr>
        <w:t>报价要求：</w:t>
      </w:r>
      <w:bookmarkEnd w:id="1"/>
    </w:p>
    <w:p>
      <w:pPr>
        <w:autoSpaceDE w:val="0"/>
        <w:autoSpaceDN w:val="0"/>
        <w:adjustRightInd w:val="0"/>
        <w:spacing w:after="6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1、所报的价格不得高于本项目最高预算且须为固定值</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包括：空调清洗涉及的人工材料费、第三方抽检费用、税费等</w:t>
      </w:r>
      <w:bookmarkStart w:id="5" w:name="_GoBack"/>
      <w:bookmarkEnd w:id="5"/>
      <w:r>
        <w:rPr>
          <w:rFonts w:hint="eastAsia" w:ascii="仿宋" w:hAnsi="仿宋" w:eastAsia="仿宋" w:cs="仿宋"/>
          <w:sz w:val="24"/>
          <w:szCs w:val="24"/>
          <w:lang w:eastAsia="zh-CN"/>
        </w:rPr>
        <w:t>）</w:t>
      </w:r>
      <w:r>
        <w:rPr>
          <w:rFonts w:hint="eastAsia" w:ascii="仿宋" w:hAnsi="仿宋" w:eastAsia="仿宋" w:cs="仿宋"/>
          <w:sz w:val="24"/>
          <w:szCs w:val="24"/>
        </w:rPr>
        <w:t>，否则作无效报价处理。</w:t>
      </w:r>
    </w:p>
    <w:p>
      <w:pPr>
        <w:autoSpaceDE w:val="0"/>
        <w:autoSpaceDN w:val="0"/>
        <w:adjustRightInd w:val="0"/>
        <w:spacing w:after="6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所报的价格已包括本采购项目实施过程中除了明确由采购人负责承担的费用之外的可预见和不可预见费用。投标人应估算所有费用且对本项目的所有采购内容进行报价，项目实施后中标人不得另行收取其他任何费用。</w:t>
      </w:r>
    </w:p>
    <w:p>
      <w:pPr>
        <w:autoSpaceDE w:val="0"/>
        <w:autoSpaceDN w:val="0"/>
        <w:adjustRightInd w:val="0"/>
        <w:spacing w:after="60" w:line="360" w:lineRule="auto"/>
        <w:ind w:firstLine="480" w:firstLineChars="200"/>
        <w:jc w:val="left"/>
        <w:rPr>
          <w:rFonts w:hint="eastAsia" w:ascii="仿宋" w:hAnsi="仿宋" w:eastAsia="仿宋" w:cs="仿宋"/>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rPr>
      </w:pPr>
      <w:bookmarkStart w:id="2" w:name="_Toc452027193"/>
      <w:r>
        <w:rPr>
          <w:rFonts w:hint="eastAsia" w:ascii="仿宋" w:hAnsi="仿宋" w:eastAsia="仿宋" w:cs="仿宋"/>
          <w:b/>
          <w:bCs/>
          <w:sz w:val="24"/>
          <w:szCs w:val="24"/>
        </w:rPr>
        <w:t>服务地点：</w:t>
      </w:r>
      <w:bookmarkEnd w:id="2"/>
    </w:p>
    <w:p>
      <w:pPr>
        <w:autoSpaceDE w:val="0"/>
        <w:autoSpaceDN w:val="0"/>
        <w:adjustRightInd w:val="0"/>
        <w:spacing w:after="6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本项目服务地点为：</w:t>
      </w:r>
      <w:r>
        <w:rPr>
          <w:rFonts w:hint="eastAsia" w:ascii="仿宋" w:hAnsi="仿宋" w:eastAsia="仿宋" w:cs="仿宋"/>
          <w:sz w:val="24"/>
          <w:szCs w:val="24"/>
          <w:lang w:eastAsia="zh-CN"/>
        </w:rPr>
        <w:t>珠海市香洲区梅华东路</w:t>
      </w:r>
      <w:r>
        <w:rPr>
          <w:rFonts w:hint="eastAsia" w:ascii="仿宋" w:hAnsi="仿宋" w:eastAsia="仿宋" w:cs="仿宋"/>
          <w:sz w:val="24"/>
          <w:szCs w:val="24"/>
          <w:lang w:val="en-US" w:eastAsia="zh-CN"/>
        </w:rPr>
        <w:t>52号中山大学附属第五医院</w:t>
      </w:r>
      <w:r>
        <w:rPr>
          <w:rFonts w:hint="eastAsia" w:ascii="仿宋" w:hAnsi="仿宋" w:eastAsia="仿宋" w:cs="仿宋"/>
          <w:sz w:val="24"/>
          <w:szCs w:val="24"/>
        </w:rPr>
        <w:t>。</w:t>
      </w:r>
    </w:p>
    <w:p>
      <w:pPr>
        <w:autoSpaceDE w:val="0"/>
        <w:autoSpaceDN w:val="0"/>
        <w:adjustRightInd w:val="0"/>
        <w:spacing w:after="60" w:line="360" w:lineRule="auto"/>
        <w:ind w:firstLine="480" w:firstLineChars="200"/>
        <w:jc w:val="left"/>
        <w:rPr>
          <w:rFonts w:hint="eastAsia" w:ascii="仿宋" w:hAnsi="仿宋" w:eastAsia="仿宋" w:cs="仿宋"/>
          <w:sz w:val="24"/>
          <w:szCs w:val="2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rPr>
      </w:pPr>
      <w:bookmarkStart w:id="3" w:name="_Toc452027194"/>
      <w:r>
        <w:rPr>
          <w:rFonts w:hint="eastAsia" w:ascii="仿宋" w:hAnsi="仿宋" w:eastAsia="仿宋" w:cs="仿宋"/>
          <w:b/>
          <w:bCs/>
          <w:sz w:val="24"/>
          <w:szCs w:val="24"/>
        </w:rPr>
        <w:t>服务期：</w:t>
      </w:r>
      <w:bookmarkEnd w:id="3"/>
    </w:p>
    <w:p>
      <w:pPr>
        <w:autoSpaceDE w:val="0"/>
        <w:autoSpaceDN w:val="0"/>
        <w:adjustRightInd w:val="0"/>
        <w:spacing w:after="60"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本项目服务期为：自本项目合同生效之日算起，为期</w:t>
      </w:r>
      <w:r>
        <w:rPr>
          <w:rFonts w:hint="eastAsia" w:ascii="仿宋" w:hAnsi="仿宋" w:eastAsia="仿宋" w:cs="仿宋"/>
          <w:sz w:val="24"/>
          <w:szCs w:val="24"/>
          <w:lang w:val="en-US" w:eastAsia="zh-CN"/>
        </w:rPr>
        <w:t>1个月</w:t>
      </w:r>
      <w:r>
        <w:rPr>
          <w:rFonts w:hint="eastAsia" w:ascii="仿宋" w:hAnsi="仿宋" w:eastAsia="仿宋" w:cs="仿宋"/>
          <w:sz w:val="24"/>
          <w:szCs w:val="24"/>
          <w:lang w:eastAsia="zh-CN"/>
        </w:rPr>
        <w:t>。</w:t>
      </w:r>
    </w:p>
    <w:p>
      <w:pPr>
        <w:autoSpaceDE w:val="0"/>
        <w:autoSpaceDN w:val="0"/>
        <w:adjustRightInd w:val="0"/>
        <w:spacing w:after="60" w:line="360" w:lineRule="auto"/>
        <w:ind w:firstLine="480" w:firstLineChars="200"/>
        <w:jc w:val="left"/>
        <w:rPr>
          <w:rFonts w:hint="eastAsia" w:ascii="仿宋" w:hAnsi="仿宋" w:eastAsia="仿宋" w:cs="仿宋"/>
          <w:sz w:val="24"/>
          <w:szCs w:val="24"/>
          <w:lang w:eastAsia="zh-CN"/>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rPr>
      </w:pPr>
      <w:bookmarkStart w:id="4" w:name="_Toc452027195"/>
      <w:r>
        <w:rPr>
          <w:rFonts w:hint="eastAsia" w:ascii="仿宋" w:hAnsi="仿宋" w:eastAsia="仿宋" w:cs="仿宋"/>
          <w:b/>
          <w:bCs/>
          <w:sz w:val="24"/>
          <w:szCs w:val="24"/>
        </w:rPr>
        <w:t>结算方式：</w:t>
      </w:r>
      <w:bookmarkEnd w:id="4"/>
    </w:p>
    <w:p>
      <w:pPr>
        <w:pStyle w:val="8"/>
        <w:numPr>
          <w:ilvl w:val="0"/>
          <w:numId w:val="12"/>
        </w:numPr>
        <w:wordWrap/>
        <w:spacing w:afterLines="0"/>
        <w:ind w:firstLine="452"/>
        <w:rPr>
          <w:rFonts w:hint="eastAsia" w:ascii="仿宋" w:hAnsi="仿宋" w:eastAsia="仿宋" w:cs="仿宋"/>
          <w:sz w:val="24"/>
          <w:szCs w:val="24"/>
        </w:rPr>
      </w:pPr>
      <w:r>
        <w:rPr>
          <w:rFonts w:hint="eastAsia" w:ascii="仿宋" w:hAnsi="仿宋" w:eastAsia="仿宋" w:cs="仿宋"/>
          <w:snapToGrid/>
          <w:spacing w:val="0"/>
          <w:kern w:val="2"/>
          <w:sz w:val="24"/>
          <w:szCs w:val="24"/>
          <w:lang w:val="en-US" w:eastAsia="zh-CN" w:bidi="ar-SA"/>
        </w:rPr>
        <w:t>无预付款，按实际清洗数量结算（具体数量必须提供清洗科室签字的确认表作为佐证材料）；</w:t>
      </w:r>
    </w:p>
    <w:p>
      <w:pPr>
        <w:pStyle w:val="8"/>
        <w:numPr>
          <w:ilvl w:val="0"/>
          <w:numId w:val="12"/>
        </w:numPr>
        <w:wordWrap/>
        <w:spacing w:afterLines="0"/>
        <w:ind w:firstLine="452"/>
        <w:rPr>
          <w:rFonts w:hint="eastAsia" w:ascii="仿宋" w:hAnsi="仿宋" w:eastAsia="仿宋" w:cs="仿宋"/>
          <w:sz w:val="24"/>
          <w:szCs w:val="24"/>
        </w:rPr>
      </w:pPr>
      <w:r>
        <w:rPr>
          <w:rFonts w:hint="eastAsia" w:ascii="仿宋" w:hAnsi="仿宋" w:eastAsia="仿宋" w:cs="仿宋"/>
          <w:sz w:val="24"/>
          <w:szCs w:val="24"/>
          <w:lang w:val="en-US" w:eastAsia="zh-CN"/>
        </w:rPr>
        <w:t>以清洗后有院方委托具备国家检测资格的第三方检测机构出具清洗后检测报告（费用由中标单位承担），并提供合格检测报告后支付项目总额的100%；</w:t>
      </w:r>
    </w:p>
    <w:p>
      <w:pPr>
        <w:pStyle w:val="8"/>
        <w:numPr>
          <w:ilvl w:val="0"/>
          <w:numId w:val="12"/>
        </w:numPr>
        <w:wordWrap/>
        <w:spacing w:afterLines="0"/>
        <w:ind w:firstLine="452"/>
        <w:rPr>
          <w:rFonts w:hint="eastAsia" w:ascii="仿宋" w:hAnsi="仿宋" w:eastAsia="仿宋" w:cs="仿宋"/>
          <w:sz w:val="24"/>
          <w:szCs w:val="24"/>
        </w:rPr>
      </w:pPr>
      <w:r>
        <w:rPr>
          <w:rFonts w:hint="eastAsia" w:ascii="仿宋" w:hAnsi="仿宋" w:eastAsia="仿宋" w:cs="仿宋"/>
          <w:sz w:val="24"/>
          <w:szCs w:val="24"/>
        </w:rPr>
        <w:t>所有结算款项由采购人以银行转帐的方式直接划转至中标人名下的银行帐户</w:t>
      </w:r>
      <w:r>
        <w:rPr>
          <w:rFonts w:hint="eastAsia" w:ascii="仿宋" w:hAnsi="仿宋" w:eastAsia="仿宋" w:cs="仿宋"/>
          <w:sz w:val="24"/>
          <w:szCs w:val="24"/>
          <w:lang w:eastAsia="zh-CN"/>
        </w:rPr>
        <w:t>。</w:t>
      </w:r>
    </w:p>
    <w:p>
      <w:pPr>
        <w:rPr>
          <w:rFonts w:hint="eastAsia" w:ascii="仿宋" w:hAnsi="仿宋" w:eastAsia="仿宋" w:cs="仿宋"/>
        </w:rPr>
      </w:pPr>
      <w:r>
        <w:rPr>
          <w:rFonts w:hint="eastAsia" w:ascii="仿宋" w:hAnsi="仿宋" w:eastAsia="仿宋" w:cs="仿宋"/>
          <w:sz w:val="24"/>
          <w:szCs w:val="24"/>
        </w:rPr>
        <w:t>在结算时，中标人须向采购人出具有效的结算发票。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501A1"/>
    <w:multiLevelType w:val="singleLevel"/>
    <w:tmpl w:val="80F501A1"/>
    <w:lvl w:ilvl="0" w:tentative="0">
      <w:start w:val="1"/>
      <w:numFmt w:val="decimal"/>
      <w:lvlText w:val="(%1)"/>
      <w:lvlJc w:val="left"/>
      <w:pPr>
        <w:ind w:left="425" w:hanging="425"/>
      </w:pPr>
      <w:rPr>
        <w:rFonts w:hint="default"/>
      </w:rPr>
    </w:lvl>
  </w:abstractNum>
  <w:abstractNum w:abstractNumId="1">
    <w:nsid w:val="8525314F"/>
    <w:multiLevelType w:val="singleLevel"/>
    <w:tmpl w:val="8525314F"/>
    <w:lvl w:ilvl="0" w:tentative="0">
      <w:start w:val="1"/>
      <w:numFmt w:val="decimal"/>
      <w:lvlText w:val="(%1)"/>
      <w:lvlJc w:val="left"/>
      <w:pPr>
        <w:ind w:left="425" w:hanging="425"/>
      </w:pPr>
      <w:rPr>
        <w:rFonts w:hint="default"/>
      </w:rPr>
    </w:lvl>
  </w:abstractNum>
  <w:abstractNum w:abstractNumId="2">
    <w:nsid w:val="AEC95668"/>
    <w:multiLevelType w:val="singleLevel"/>
    <w:tmpl w:val="AEC95668"/>
    <w:lvl w:ilvl="0" w:tentative="0">
      <w:start w:val="1"/>
      <w:numFmt w:val="decimal"/>
      <w:lvlText w:val="%1."/>
      <w:lvlJc w:val="left"/>
      <w:pPr>
        <w:ind w:left="425" w:hanging="425"/>
      </w:pPr>
      <w:rPr>
        <w:rFonts w:hint="default"/>
      </w:rPr>
    </w:lvl>
  </w:abstractNum>
  <w:abstractNum w:abstractNumId="3">
    <w:nsid w:val="B1A396D5"/>
    <w:multiLevelType w:val="singleLevel"/>
    <w:tmpl w:val="B1A396D5"/>
    <w:lvl w:ilvl="0" w:tentative="0">
      <w:start w:val="1"/>
      <w:numFmt w:val="decimal"/>
      <w:lvlText w:val="%1."/>
      <w:lvlJc w:val="left"/>
      <w:pPr>
        <w:ind w:left="425" w:hanging="425"/>
      </w:pPr>
      <w:rPr>
        <w:rFonts w:hint="default"/>
      </w:rPr>
    </w:lvl>
  </w:abstractNum>
  <w:abstractNum w:abstractNumId="4">
    <w:nsid w:val="C6141354"/>
    <w:multiLevelType w:val="singleLevel"/>
    <w:tmpl w:val="C6141354"/>
    <w:lvl w:ilvl="0" w:tentative="0">
      <w:start w:val="1"/>
      <w:numFmt w:val="chineseCounting"/>
      <w:suff w:val="nothing"/>
      <w:lvlText w:val="%1、"/>
      <w:lvlJc w:val="left"/>
      <w:pPr>
        <w:ind w:left="0" w:firstLine="420"/>
      </w:pPr>
      <w:rPr>
        <w:rFonts w:hint="eastAsia"/>
      </w:rPr>
    </w:lvl>
  </w:abstractNum>
  <w:abstractNum w:abstractNumId="5">
    <w:nsid w:val="C6CB1F2A"/>
    <w:multiLevelType w:val="singleLevel"/>
    <w:tmpl w:val="C6CB1F2A"/>
    <w:lvl w:ilvl="0" w:tentative="0">
      <w:start w:val="1"/>
      <w:numFmt w:val="chineseCounting"/>
      <w:suff w:val="nothing"/>
      <w:lvlText w:val="（%1）"/>
      <w:lvlJc w:val="left"/>
      <w:pPr>
        <w:ind w:left="0" w:firstLine="420"/>
      </w:pPr>
      <w:rPr>
        <w:rFonts w:hint="eastAsia"/>
      </w:rPr>
    </w:lvl>
  </w:abstractNum>
  <w:abstractNum w:abstractNumId="6">
    <w:nsid w:val="E05CB539"/>
    <w:multiLevelType w:val="singleLevel"/>
    <w:tmpl w:val="E05CB539"/>
    <w:lvl w:ilvl="0" w:tentative="0">
      <w:start w:val="1"/>
      <w:numFmt w:val="decimal"/>
      <w:suff w:val="nothing"/>
      <w:lvlText w:val="%1、"/>
      <w:lvlJc w:val="left"/>
    </w:lvl>
  </w:abstractNum>
  <w:abstractNum w:abstractNumId="7">
    <w:nsid w:val="E5AE884C"/>
    <w:multiLevelType w:val="singleLevel"/>
    <w:tmpl w:val="E5AE884C"/>
    <w:lvl w:ilvl="0" w:tentative="0">
      <w:start w:val="1"/>
      <w:numFmt w:val="chineseCounting"/>
      <w:suff w:val="nothing"/>
      <w:lvlText w:val="（%1）"/>
      <w:lvlJc w:val="left"/>
      <w:pPr>
        <w:ind w:left="0" w:firstLine="420"/>
      </w:pPr>
      <w:rPr>
        <w:rFonts w:hint="eastAsia"/>
      </w:rPr>
    </w:lvl>
  </w:abstractNum>
  <w:abstractNum w:abstractNumId="8">
    <w:nsid w:val="1280A1EC"/>
    <w:multiLevelType w:val="singleLevel"/>
    <w:tmpl w:val="1280A1EC"/>
    <w:lvl w:ilvl="0" w:tentative="0">
      <w:start w:val="1"/>
      <w:numFmt w:val="decimal"/>
      <w:lvlText w:val="%1."/>
      <w:lvlJc w:val="left"/>
      <w:pPr>
        <w:ind w:left="425" w:hanging="425"/>
      </w:pPr>
      <w:rPr>
        <w:rFonts w:hint="default"/>
      </w:rPr>
    </w:lvl>
  </w:abstractNum>
  <w:abstractNum w:abstractNumId="9">
    <w:nsid w:val="2B4BFE2F"/>
    <w:multiLevelType w:val="singleLevel"/>
    <w:tmpl w:val="2B4BFE2F"/>
    <w:lvl w:ilvl="0" w:tentative="0">
      <w:start w:val="1"/>
      <w:numFmt w:val="decimal"/>
      <w:lvlText w:val="(%1)"/>
      <w:lvlJc w:val="left"/>
      <w:pPr>
        <w:ind w:left="425" w:hanging="425"/>
      </w:pPr>
      <w:rPr>
        <w:rFonts w:hint="default"/>
      </w:rPr>
    </w:lvl>
  </w:abstractNum>
  <w:abstractNum w:abstractNumId="10">
    <w:nsid w:val="589A7D6C"/>
    <w:multiLevelType w:val="singleLevel"/>
    <w:tmpl w:val="589A7D6C"/>
    <w:lvl w:ilvl="0" w:tentative="0">
      <w:start w:val="1"/>
      <w:numFmt w:val="chineseCounting"/>
      <w:suff w:val="nothing"/>
      <w:lvlText w:val="（%1）"/>
      <w:lvlJc w:val="left"/>
      <w:pPr>
        <w:ind w:left="0" w:firstLine="420"/>
      </w:pPr>
      <w:rPr>
        <w:rFonts w:hint="eastAsia"/>
      </w:rPr>
    </w:lvl>
  </w:abstractNum>
  <w:abstractNum w:abstractNumId="11">
    <w:nsid w:val="67366700"/>
    <w:multiLevelType w:val="singleLevel"/>
    <w:tmpl w:val="67366700"/>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3"/>
  </w:num>
  <w:num w:numId="4">
    <w:abstractNumId w:val="10"/>
  </w:num>
  <w:num w:numId="5">
    <w:abstractNumId w:val="2"/>
  </w:num>
  <w:num w:numId="6">
    <w:abstractNumId w:val="9"/>
  </w:num>
  <w:num w:numId="7">
    <w:abstractNumId w:val="1"/>
  </w:num>
  <w:num w:numId="8">
    <w:abstractNumId w:val="7"/>
  </w:num>
  <w:num w:numId="9">
    <w:abstractNumId w:val="0"/>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DExMmI5MWE4NGI1MjlmMmY0OWExNTVjZTcwNjUifQ=="/>
  </w:docVars>
  <w:rsids>
    <w:rsidRoot w:val="388C557D"/>
    <w:rsid w:val="0BE7235E"/>
    <w:rsid w:val="0DDE087D"/>
    <w:rsid w:val="16DA0A64"/>
    <w:rsid w:val="24346CFD"/>
    <w:rsid w:val="2A2433E4"/>
    <w:rsid w:val="2D1D2C56"/>
    <w:rsid w:val="2DB677F6"/>
    <w:rsid w:val="340E1A57"/>
    <w:rsid w:val="388C557D"/>
    <w:rsid w:val="3A2F57A2"/>
    <w:rsid w:val="470A794A"/>
    <w:rsid w:val="48AB25AC"/>
    <w:rsid w:val="5FFE540D"/>
    <w:rsid w:val="62691E14"/>
    <w:rsid w:val="6490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sz w:val="30"/>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0"/>
    <w:pPr>
      <w:ind w:firstLine="420" w:firstLineChars="200"/>
    </w:pPr>
  </w:style>
  <w:style w:type="paragraph" w:customStyle="1" w:styleId="8">
    <w:name w:val="Ｒ07-!正!"/>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2739</Words>
  <Characters>2808</Characters>
  <Lines>0</Lines>
  <Paragraphs>0</Paragraphs>
  <TotalTime>80</TotalTime>
  <ScaleCrop>false</ScaleCrop>
  <LinksUpToDate>false</LinksUpToDate>
  <CharactersWithSpaces>2842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2021-05-11T00:56:00Z</dcterms:created>
  <dc:creator>鄭 dong</dc:creator>
  <cp:lastModifiedBy>童文浩</cp:lastModifiedBy>
  <cp:lastPrinted>2023-03-28T01:34:00Z</cp:lastPrinted>
  <dcterms:modified xsi:type="dcterms:W3CDTF">2023-04-13T04:10:46Z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33FB091DBC9B4AF7BE575A54E75E4CBD</vt:lpwstr>
  </property>
</Properties>
</file>