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038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</w:t>
      </w:r>
      <w:r>
        <w:rPr>
          <w:rFonts w:hint="eastAsia"/>
          <w:sz w:val="28"/>
          <w:szCs w:val="28"/>
          <w:lang w:val="en-US" w:eastAsia="zh-CN"/>
        </w:rPr>
        <w:t>经导管主动脉瓣膜系统、生物可吸收雷帕霉素洗脱冠脉支架系统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038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</w:t>
      </w:r>
      <w:r>
        <w:rPr>
          <w:rFonts w:hint="eastAsia"/>
          <w:sz w:val="28"/>
          <w:szCs w:val="28"/>
          <w:lang w:val="en-US" w:eastAsia="zh-CN"/>
        </w:rPr>
        <w:t>经导管主动脉瓣膜系统、生物可吸收雷帕霉素洗脱冠脉支架系统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both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2B45762"/>
    <w:rsid w:val="03CF7C1E"/>
    <w:rsid w:val="03D857A6"/>
    <w:rsid w:val="04882C4B"/>
    <w:rsid w:val="05044BDA"/>
    <w:rsid w:val="08576CD9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0304E4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2025-12-22T04:03:29Z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