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D85EC" w14:textId="77777777" w:rsidR="00CB1B9F" w:rsidRDefault="003F22F3">
      <w:pPr>
        <w:ind w:firstLineChars="200" w:firstLine="442"/>
        <w:outlineLvl w:val="3"/>
        <w:rPr>
          <w:rFonts w:cs="Futura-Heavy"/>
          <w:b/>
          <w:bCs/>
          <w:color w:val="FF0000"/>
          <w:sz w:val="22"/>
        </w:rPr>
      </w:pPr>
      <w:bookmarkStart w:id="0" w:name="_Toc67046848"/>
      <w:bookmarkStart w:id="1" w:name="_Toc6322232"/>
      <w:r>
        <w:rPr>
          <w:rFonts w:cs="Futura-Heavy" w:hint="eastAsia"/>
          <w:b/>
          <w:bCs/>
          <w:sz w:val="22"/>
        </w:rPr>
        <w:t>1</w:t>
      </w:r>
      <w:r>
        <w:rPr>
          <w:rFonts w:cs="Futura-Heavy" w:hint="eastAsia"/>
          <w:b/>
          <w:bCs/>
          <w:sz w:val="22"/>
        </w:rPr>
        <w:t>：需求响应细则表（</w:t>
      </w:r>
      <w:r>
        <w:rPr>
          <w:rFonts w:cs="Futura-Heavy" w:hint="eastAsia"/>
          <w:b/>
          <w:bCs/>
          <w:sz w:val="22"/>
        </w:rPr>
        <w:t>60</w:t>
      </w:r>
      <w:r>
        <w:rPr>
          <w:rFonts w:cs="Futura-Heavy" w:hint="eastAsia"/>
          <w:b/>
          <w:bCs/>
          <w:sz w:val="22"/>
        </w:rPr>
        <w:t>分）</w:t>
      </w:r>
      <w:bookmarkEnd w:id="0"/>
      <w:bookmarkEnd w:id="1"/>
      <w:r>
        <w:rPr>
          <w:rFonts w:cs="Futura-Heavy"/>
          <w:b/>
          <w:bCs/>
          <w:color w:val="FF0000"/>
          <w:sz w:val="22"/>
        </w:rPr>
        <w:t xml:space="preserve"> </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987"/>
        <w:gridCol w:w="7235"/>
        <w:gridCol w:w="825"/>
        <w:gridCol w:w="977"/>
      </w:tblGrid>
      <w:tr w:rsidR="00CB1B9F" w14:paraId="0B396C67" w14:textId="77777777">
        <w:trPr>
          <w:trHeight w:val="545"/>
          <w:jc w:val="center"/>
        </w:trPr>
        <w:tc>
          <w:tcPr>
            <w:tcW w:w="590" w:type="dxa"/>
            <w:shd w:val="clear" w:color="auto" w:fill="F2F2F2" w:themeFill="background1" w:themeFillShade="F2"/>
            <w:vAlign w:val="center"/>
          </w:tcPr>
          <w:p w14:paraId="7E96DA34" w14:textId="77777777" w:rsidR="00CB1B9F" w:rsidRDefault="003F22F3">
            <w:pPr>
              <w:pStyle w:val="TableParagraph"/>
              <w:jc w:val="center"/>
              <w:rPr>
                <w:b/>
                <w:sz w:val="22"/>
                <w:szCs w:val="22"/>
              </w:rPr>
            </w:pPr>
            <w:bookmarkStart w:id="2" w:name="_Hlk43300484"/>
            <w:r>
              <w:rPr>
                <w:rFonts w:hint="eastAsia"/>
                <w:b/>
                <w:sz w:val="22"/>
                <w:szCs w:val="22"/>
              </w:rPr>
              <w:t>序号</w:t>
            </w:r>
          </w:p>
        </w:tc>
        <w:tc>
          <w:tcPr>
            <w:tcW w:w="987" w:type="dxa"/>
            <w:shd w:val="clear" w:color="auto" w:fill="F2F2F2" w:themeFill="background1" w:themeFillShade="F2"/>
            <w:vAlign w:val="center"/>
          </w:tcPr>
          <w:p w14:paraId="67EDE685" w14:textId="77777777" w:rsidR="00CB1B9F" w:rsidRDefault="003F22F3">
            <w:pPr>
              <w:pStyle w:val="TableParagraph"/>
              <w:jc w:val="center"/>
              <w:rPr>
                <w:b/>
                <w:sz w:val="22"/>
                <w:szCs w:val="22"/>
              </w:rPr>
            </w:pPr>
            <w:r>
              <w:rPr>
                <w:rFonts w:hint="eastAsia"/>
                <w:b/>
                <w:sz w:val="22"/>
                <w:szCs w:val="22"/>
              </w:rPr>
              <w:t>评审内容</w:t>
            </w:r>
          </w:p>
        </w:tc>
        <w:tc>
          <w:tcPr>
            <w:tcW w:w="7235" w:type="dxa"/>
            <w:shd w:val="clear" w:color="auto" w:fill="F2F2F2" w:themeFill="background1" w:themeFillShade="F2"/>
            <w:vAlign w:val="center"/>
          </w:tcPr>
          <w:p w14:paraId="267F057B" w14:textId="77777777" w:rsidR="00CB1B9F" w:rsidRDefault="003F22F3">
            <w:pPr>
              <w:pStyle w:val="TableParagraph"/>
              <w:jc w:val="center"/>
              <w:rPr>
                <w:b/>
                <w:sz w:val="22"/>
                <w:szCs w:val="22"/>
              </w:rPr>
            </w:pPr>
            <w:r>
              <w:rPr>
                <w:rFonts w:hint="eastAsia"/>
                <w:b/>
                <w:sz w:val="22"/>
                <w:szCs w:val="22"/>
              </w:rPr>
              <w:t>评分档次及依据</w:t>
            </w:r>
          </w:p>
        </w:tc>
        <w:tc>
          <w:tcPr>
            <w:tcW w:w="825" w:type="dxa"/>
            <w:shd w:val="clear" w:color="auto" w:fill="F2F2F2" w:themeFill="background1" w:themeFillShade="F2"/>
            <w:vAlign w:val="center"/>
          </w:tcPr>
          <w:p w14:paraId="478278A2" w14:textId="77777777" w:rsidR="00CB1B9F" w:rsidRDefault="003F22F3">
            <w:pPr>
              <w:pStyle w:val="TableParagraph"/>
              <w:jc w:val="center"/>
              <w:rPr>
                <w:b/>
                <w:sz w:val="22"/>
                <w:szCs w:val="22"/>
              </w:rPr>
            </w:pPr>
            <w:r>
              <w:rPr>
                <w:rFonts w:hint="eastAsia"/>
                <w:b/>
                <w:sz w:val="22"/>
                <w:szCs w:val="22"/>
              </w:rPr>
              <w:t>分值（分）</w:t>
            </w:r>
          </w:p>
        </w:tc>
        <w:tc>
          <w:tcPr>
            <w:tcW w:w="977" w:type="dxa"/>
            <w:shd w:val="clear" w:color="auto" w:fill="F2F2F2" w:themeFill="background1" w:themeFillShade="F2"/>
            <w:vAlign w:val="center"/>
          </w:tcPr>
          <w:p w14:paraId="69182DDA" w14:textId="77777777" w:rsidR="00CB1B9F" w:rsidRDefault="003F22F3">
            <w:pPr>
              <w:pStyle w:val="TableParagraph"/>
              <w:jc w:val="center"/>
              <w:rPr>
                <w:b/>
                <w:sz w:val="22"/>
                <w:szCs w:val="22"/>
                <w:lang w:val="en-US"/>
              </w:rPr>
            </w:pPr>
            <w:r>
              <w:rPr>
                <w:rFonts w:hint="eastAsia"/>
                <w:b/>
                <w:sz w:val="22"/>
                <w:szCs w:val="22"/>
                <w:lang w:val="en-US"/>
              </w:rPr>
              <w:t>得分（分）</w:t>
            </w:r>
          </w:p>
        </w:tc>
      </w:tr>
      <w:tr w:rsidR="00CB1B9F" w14:paraId="7913F500" w14:textId="77777777">
        <w:trPr>
          <w:trHeight w:val="454"/>
          <w:jc w:val="center"/>
        </w:trPr>
        <w:tc>
          <w:tcPr>
            <w:tcW w:w="590" w:type="dxa"/>
            <w:vAlign w:val="center"/>
          </w:tcPr>
          <w:p w14:paraId="132E1DE0" w14:textId="77777777" w:rsidR="00CB1B9F" w:rsidRDefault="003F22F3">
            <w:pPr>
              <w:jc w:val="center"/>
              <w:rPr>
                <w:sz w:val="22"/>
              </w:rPr>
            </w:pPr>
            <w:r>
              <w:rPr>
                <w:rFonts w:hint="eastAsia"/>
                <w:sz w:val="22"/>
              </w:rPr>
              <w:t>1</w:t>
            </w:r>
          </w:p>
        </w:tc>
        <w:tc>
          <w:tcPr>
            <w:tcW w:w="987" w:type="dxa"/>
            <w:vAlign w:val="center"/>
          </w:tcPr>
          <w:p w14:paraId="274BE664" w14:textId="77777777" w:rsidR="00CB1B9F" w:rsidRDefault="003F22F3">
            <w:pPr>
              <w:jc w:val="center"/>
              <w:rPr>
                <w:sz w:val="22"/>
              </w:rPr>
            </w:pPr>
            <w:r>
              <w:rPr>
                <w:rFonts w:hint="eastAsia"/>
                <w:sz w:val="22"/>
                <w:szCs w:val="24"/>
              </w:rPr>
              <w:t>系统对接</w:t>
            </w:r>
          </w:p>
        </w:tc>
        <w:tc>
          <w:tcPr>
            <w:tcW w:w="7235" w:type="dxa"/>
            <w:vAlign w:val="center"/>
          </w:tcPr>
          <w:p w14:paraId="39609AB8" w14:textId="77777777" w:rsidR="00CB1B9F" w:rsidRDefault="003F22F3">
            <w:pPr>
              <w:jc w:val="left"/>
              <w:rPr>
                <w:sz w:val="22"/>
              </w:rPr>
            </w:pPr>
            <w:r>
              <w:rPr>
                <w:rFonts w:hint="eastAsia"/>
                <w:sz w:val="22"/>
              </w:rPr>
              <w:t>能与我院“病案通”平台实现无缝对接</w:t>
            </w:r>
            <w:r>
              <w:rPr>
                <w:rFonts w:hint="eastAsia"/>
                <w:sz w:val="22"/>
              </w:rPr>
              <w:t>订单服务信息（收件人相关信息）</w:t>
            </w:r>
            <w:r>
              <w:rPr>
                <w:rFonts w:hint="eastAsia"/>
                <w:sz w:val="22"/>
              </w:rPr>
              <w:t>，支持数据双向</w:t>
            </w:r>
            <w:proofErr w:type="gramStart"/>
            <w:r>
              <w:rPr>
                <w:rFonts w:hint="eastAsia"/>
                <w:sz w:val="22"/>
              </w:rPr>
              <w:t>交互与</w:t>
            </w:r>
            <w:proofErr w:type="gramEnd"/>
            <w:r>
              <w:rPr>
                <w:rFonts w:hint="eastAsia"/>
                <w:sz w:val="22"/>
              </w:rPr>
              <w:t>业务协同，保障业务流程顺畅，无数据孤岛或对接障碍。提供响应方案涵盖以上内容且切实可行的得</w:t>
            </w:r>
            <w:r>
              <w:rPr>
                <w:rFonts w:hint="eastAsia"/>
                <w:sz w:val="22"/>
              </w:rPr>
              <w:t>10</w:t>
            </w:r>
            <w:r>
              <w:rPr>
                <w:rFonts w:hint="eastAsia"/>
                <w:sz w:val="22"/>
              </w:rPr>
              <w:t>分，无实质性表述或未提供不得分。</w:t>
            </w:r>
          </w:p>
        </w:tc>
        <w:tc>
          <w:tcPr>
            <w:tcW w:w="825" w:type="dxa"/>
            <w:vAlign w:val="center"/>
          </w:tcPr>
          <w:p w14:paraId="75332A1B" w14:textId="77777777" w:rsidR="00CB1B9F" w:rsidRDefault="003F22F3">
            <w:pPr>
              <w:jc w:val="center"/>
              <w:rPr>
                <w:sz w:val="22"/>
              </w:rPr>
            </w:pPr>
            <w:r>
              <w:rPr>
                <w:rFonts w:hint="eastAsia"/>
                <w:sz w:val="22"/>
              </w:rPr>
              <w:t>10</w:t>
            </w:r>
          </w:p>
        </w:tc>
        <w:tc>
          <w:tcPr>
            <w:tcW w:w="977" w:type="dxa"/>
            <w:vAlign w:val="center"/>
          </w:tcPr>
          <w:p w14:paraId="6879CEF6" w14:textId="77777777" w:rsidR="00CB1B9F" w:rsidRDefault="00CB1B9F">
            <w:pPr>
              <w:jc w:val="center"/>
              <w:rPr>
                <w:sz w:val="22"/>
              </w:rPr>
            </w:pPr>
          </w:p>
        </w:tc>
      </w:tr>
      <w:tr w:rsidR="00CB1B9F" w14:paraId="7EFB7AFE" w14:textId="77777777">
        <w:trPr>
          <w:trHeight w:val="454"/>
          <w:jc w:val="center"/>
        </w:trPr>
        <w:tc>
          <w:tcPr>
            <w:tcW w:w="590" w:type="dxa"/>
            <w:vAlign w:val="center"/>
          </w:tcPr>
          <w:p w14:paraId="273C0434" w14:textId="77777777" w:rsidR="00CB1B9F" w:rsidRDefault="003F22F3">
            <w:pPr>
              <w:jc w:val="center"/>
              <w:rPr>
                <w:sz w:val="22"/>
              </w:rPr>
            </w:pPr>
            <w:r>
              <w:rPr>
                <w:rFonts w:hint="eastAsia"/>
                <w:sz w:val="22"/>
              </w:rPr>
              <w:t>2</w:t>
            </w:r>
          </w:p>
        </w:tc>
        <w:tc>
          <w:tcPr>
            <w:tcW w:w="987" w:type="dxa"/>
            <w:shd w:val="clear" w:color="auto" w:fill="auto"/>
            <w:vAlign w:val="center"/>
          </w:tcPr>
          <w:p w14:paraId="5CE80D1D" w14:textId="77777777" w:rsidR="00CB1B9F" w:rsidRDefault="003F22F3">
            <w:pPr>
              <w:jc w:val="center"/>
              <w:rPr>
                <w:sz w:val="22"/>
              </w:rPr>
            </w:pPr>
            <w:r>
              <w:rPr>
                <w:rFonts w:hint="eastAsia"/>
                <w:sz w:val="22"/>
              </w:rPr>
              <w:t>揽收时效性</w:t>
            </w:r>
          </w:p>
        </w:tc>
        <w:tc>
          <w:tcPr>
            <w:tcW w:w="7235" w:type="dxa"/>
            <w:shd w:val="clear" w:color="auto" w:fill="auto"/>
          </w:tcPr>
          <w:p w14:paraId="398B6AE8" w14:textId="77777777" w:rsidR="00CB1B9F" w:rsidRDefault="003F22F3">
            <w:pPr>
              <w:rPr>
                <w:rFonts w:cs="Calibri Light"/>
                <w:sz w:val="22"/>
              </w:rPr>
            </w:pPr>
            <w:r>
              <w:rPr>
                <w:rFonts w:hint="eastAsia"/>
                <w:sz w:val="22"/>
              </w:rPr>
              <w:t>项目要求工作日内下午</w:t>
            </w:r>
            <w:r>
              <w:rPr>
                <w:rFonts w:hint="eastAsia"/>
                <w:sz w:val="22"/>
              </w:rPr>
              <w:t>16</w:t>
            </w:r>
            <w:r>
              <w:rPr>
                <w:rFonts w:hint="eastAsia"/>
                <w:sz w:val="22"/>
              </w:rPr>
              <w:t>：</w:t>
            </w:r>
            <w:r>
              <w:rPr>
                <w:rFonts w:hint="eastAsia"/>
                <w:sz w:val="22"/>
              </w:rPr>
              <w:t>30</w:t>
            </w:r>
            <w:r>
              <w:rPr>
                <w:rFonts w:hint="eastAsia"/>
                <w:sz w:val="22"/>
              </w:rPr>
              <w:t>前完成上门揽收，加急件上午</w:t>
            </w:r>
            <w:r>
              <w:rPr>
                <w:rFonts w:hint="eastAsia"/>
                <w:sz w:val="22"/>
              </w:rPr>
              <w:t>12:00</w:t>
            </w:r>
            <w:r>
              <w:rPr>
                <w:rFonts w:hint="eastAsia"/>
                <w:sz w:val="22"/>
              </w:rPr>
              <w:t>前完成上门揽收。明确承诺揽收时效及违约赔付措施的得</w:t>
            </w:r>
            <w:r>
              <w:rPr>
                <w:rFonts w:hint="eastAsia"/>
                <w:sz w:val="22"/>
              </w:rPr>
              <w:t>15</w:t>
            </w:r>
            <w:r>
              <w:rPr>
                <w:rFonts w:hint="eastAsia"/>
                <w:sz w:val="22"/>
              </w:rPr>
              <w:t>分，未提供或表述不明确地不得分。</w:t>
            </w:r>
            <w:r>
              <w:rPr>
                <w:rFonts w:hint="eastAsia"/>
                <w:sz w:val="22"/>
              </w:rPr>
              <w:t xml:space="preserve"> </w:t>
            </w:r>
          </w:p>
        </w:tc>
        <w:tc>
          <w:tcPr>
            <w:tcW w:w="825" w:type="dxa"/>
            <w:vAlign w:val="center"/>
          </w:tcPr>
          <w:p w14:paraId="651C631B" w14:textId="77777777" w:rsidR="00CB1B9F" w:rsidRDefault="003F22F3">
            <w:pPr>
              <w:jc w:val="center"/>
              <w:rPr>
                <w:sz w:val="22"/>
              </w:rPr>
            </w:pPr>
            <w:r>
              <w:rPr>
                <w:rFonts w:hint="eastAsia"/>
                <w:sz w:val="22"/>
              </w:rPr>
              <w:t>15</w:t>
            </w:r>
          </w:p>
        </w:tc>
        <w:tc>
          <w:tcPr>
            <w:tcW w:w="977" w:type="dxa"/>
            <w:vAlign w:val="center"/>
          </w:tcPr>
          <w:p w14:paraId="069D4C89" w14:textId="77777777" w:rsidR="00CB1B9F" w:rsidRDefault="00CB1B9F">
            <w:pPr>
              <w:jc w:val="center"/>
              <w:rPr>
                <w:sz w:val="22"/>
              </w:rPr>
            </w:pPr>
          </w:p>
        </w:tc>
      </w:tr>
      <w:tr w:rsidR="00CB1B9F" w14:paraId="1748C16C" w14:textId="77777777">
        <w:trPr>
          <w:trHeight w:val="454"/>
          <w:jc w:val="center"/>
        </w:trPr>
        <w:tc>
          <w:tcPr>
            <w:tcW w:w="590" w:type="dxa"/>
            <w:vAlign w:val="center"/>
          </w:tcPr>
          <w:p w14:paraId="102EB60A" w14:textId="77777777" w:rsidR="00CB1B9F" w:rsidRDefault="003F22F3">
            <w:pPr>
              <w:jc w:val="center"/>
              <w:rPr>
                <w:sz w:val="22"/>
              </w:rPr>
            </w:pPr>
            <w:r>
              <w:rPr>
                <w:rFonts w:hint="eastAsia"/>
                <w:sz w:val="22"/>
              </w:rPr>
              <w:t>3</w:t>
            </w:r>
          </w:p>
        </w:tc>
        <w:tc>
          <w:tcPr>
            <w:tcW w:w="987" w:type="dxa"/>
            <w:shd w:val="clear" w:color="auto" w:fill="auto"/>
            <w:vAlign w:val="center"/>
          </w:tcPr>
          <w:p w14:paraId="4FBC90B0" w14:textId="77777777" w:rsidR="00CB1B9F" w:rsidRDefault="003F22F3">
            <w:pPr>
              <w:jc w:val="center"/>
              <w:rPr>
                <w:sz w:val="22"/>
              </w:rPr>
            </w:pPr>
            <w:r>
              <w:rPr>
                <w:rFonts w:hint="eastAsia"/>
                <w:sz w:val="22"/>
              </w:rPr>
              <w:t>信息安全与保密</w:t>
            </w:r>
          </w:p>
        </w:tc>
        <w:tc>
          <w:tcPr>
            <w:tcW w:w="7235" w:type="dxa"/>
            <w:shd w:val="clear" w:color="auto" w:fill="auto"/>
            <w:vAlign w:val="center"/>
          </w:tcPr>
          <w:p w14:paraId="0BB7F124" w14:textId="77777777" w:rsidR="00CB1B9F" w:rsidRDefault="003F22F3">
            <w:pPr>
              <w:jc w:val="left"/>
              <w:rPr>
                <w:sz w:val="22"/>
              </w:rPr>
            </w:pPr>
            <w:r>
              <w:rPr>
                <w:rFonts w:hint="eastAsia"/>
                <w:sz w:val="22"/>
              </w:rPr>
              <w:t>严格遵守患者信息保密相关法律法规，建立完善的信息安全管理制度，对患者信息进行全程保密，严禁泄露、篡改或滥用患者信息，需提供信息安全保障方案。提供承诺书及可行方案的得</w:t>
            </w:r>
            <w:r>
              <w:rPr>
                <w:rFonts w:hint="eastAsia"/>
                <w:sz w:val="22"/>
              </w:rPr>
              <w:t>10</w:t>
            </w:r>
            <w:r>
              <w:rPr>
                <w:rFonts w:hint="eastAsia"/>
                <w:sz w:val="22"/>
              </w:rPr>
              <w:t>分，未提供不得分。</w:t>
            </w:r>
          </w:p>
        </w:tc>
        <w:tc>
          <w:tcPr>
            <w:tcW w:w="825" w:type="dxa"/>
            <w:shd w:val="clear" w:color="auto" w:fill="auto"/>
            <w:vAlign w:val="center"/>
          </w:tcPr>
          <w:p w14:paraId="6D6D9FDB" w14:textId="77777777" w:rsidR="00CB1B9F" w:rsidRDefault="003F22F3">
            <w:pPr>
              <w:jc w:val="center"/>
              <w:rPr>
                <w:sz w:val="22"/>
              </w:rPr>
            </w:pPr>
            <w:r>
              <w:rPr>
                <w:rFonts w:hint="eastAsia"/>
                <w:sz w:val="22"/>
              </w:rPr>
              <w:t>10</w:t>
            </w:r>
          </w:p>
        </w:tc>
        <w:tc>
          <w:tcPr>
            <w:tcW w:w="977" w:type="dxa"/>
            <w:shd w:val="clear" w:color="auto" w:fill="auto"/>
            <w:vAlign w:val="center"/>
          </w:tcPr>
          <w:p w14:paraId="60645C53" w14:textId="77777777" w:rsidR="00CB1B9F" w:rsidRDefault="00CB1B9F">
            <w:pPr>
              <w:jc w:val="center"/>
              <w:rPr>
                <w:sz w:val="22"/>
              </w:rPr>
            </w:pPr>
          </w:p>
        </w:tc>
      </w:tr>
      <w:tr w:rsidR="00CB1B9F" w14:paraId="37FE98E7" w14:textId="77777777">
        <w:trPr>
          <w:trHeight w:val="454"/>
          <w:jc w:val="center"/>
        </w:trPr>
        <w:tc>
          <w:tcPr>
            <w:tcW w:w="590" w:type="dxa"/>
            <w:vAlign w:val="center"/>
          </w:tcPr>
          <w:p w14:paraId="6C10CB78" w14:textId="77777777" w:rsidR="00CB1B9F" w:rsidRDefault="003F22F3">
            <w:pPr>
              <w:jc w:val="center"/>
              <w:rPr>
                <w:sz w:val="22"/>
              </w:rPr>
            </w:pPr>
            <w:r>
              <w:rPr>
                <w:rFonts w:hint="eastAsia"/>
                <w:sz w:val="22"/>
              </w:rPr>
              <w:t>4</w:t>
            </w:r>
          </w:p>
        </w:tc>
        <w:tc>
          <w:tcPr>
            <w:tcW w:w="987" w:type="dxa"/>
            <w:shd w:val="clear" w:color="auto" w:fill="auto"/>
            <w:vAlign w:val="center"/>
          </w:tcPr>
          <w:p w14:paraId="5B5AB83F" w14:textId="77777777" w:rsidR="00CB1B9F" w:rsidRDefault="003F22F3">
            <w:pPr>
              <w:jc w:val="center"/>
              <w:rPr>
                <w:sz w:val="22"/>
              </w:rPr>
            </w:pPr>
            <w:r>
              <w:rPr>
                <w:rFonts w:hint="eastAsia"/>
                <w:sz w:val="22"/>
              </w:rPr>
              <w:t>对外服务价格一致性</w:t>
            </w:r>
          </w:p>
        </w:tc>
        <w:tc>
          <w:tcPr>
            <w:tcW w:w="7235" w:type="dxa"/>
            <w:shd w:val="clear" w:color="auto" w:fill="auto"/>
            <w:vAlign w:val="center"/>
          </w:tcPr>
          <w:p w14:paraId="425B3A41" w14:textId="77777777" w:rsidR="00CB1B9F" w:rsidRDefault="003F22F3">
            <w:pPr>
              <w:jc w:val="left"/>
              <w:rPr>
                <w:sz w:val="22"/>
              </w:rPr>
            </w:pPr>
            <w:r>
              <w:rPr>
                <w:rFonts w:hint="eastAsia"/>
                <w:sz w:val="22"/>
              </w:rPr>
              <w:t>项目由服务商直接向寄件人收取费用，提供对寄件人收费标准，要求与市场收费保持一致。符合要求的得</w:t>
            </w:r>
            <w:r>
              <w:rPr>
                <w:rFonts w:hint="eastAsia"/>
                <w:sz w:val="22"/>
              </w:rPr>
              <w:t>15</w:t>
            </w:r>
            <w:r>
              <w:rPr>
                <w:rFonts w:hint="eastAsia"/>
                <w:sz w:val="22"/>
              </w:rPr>
              <w:t>分，不符合不得分。</w:t>
            </w:r>
          </w:p>
        </w:tc>
        <w:tc>
          <w:tcPr>
            <w:tcW w:w="825" w:type="dxa"/>
            <w:shd w:val="clear" w:color="auto" w:fill="auto"/>
            <w:vAlign w:val="center"/>
          </w:tcPr>
          <w:p w14:paraId="40D6A2A2" w14:textId="77777777" w:rsidR="00CB1B9F" w:rsidRDefault="003F22F3">
            <w:pPr>
              <w:jc w:val="center"/>
              <w:rPr>
                <w:sz w:val="22"/>
              </w:rPr>
            </w:pPr>
            <w:r>
              <w:rPr>
                <w:rFonts w:hint="eastAsia"/>
                <w:sz w:val="22"/>
              </w:rPr>
              <w:t>15</w:t>
            </w:r>
          </w:p>
        </w:tc>
        <w:tc>
          <w:tcPr>
            <w:tcW w:w="977" w:type="dxa"/>
            <w:shd w:val="clear" w:color="auto" w:fill="auto"/>
            <w:vAlign w:val="center"/>
          </w:tcPr>
          <w:p w14:paraId="052A0496" w14:textId="77777777" w:rsidR="00CB1B9F" w:rsidRDefault="00CB1B9F">
            <w:pPr>
              <w:jc w:val="center"/>
              <w:rPr>
                <w:sz w:val="22"/>
              </w:rPr>
            </w:pPr>
          </w:p>
        </w:tc>
      </w:tr>
      <w:tr w:rsidR="00CB1B9F" w14:paraId="07B3574E" w14:textId="77777777">
        <w:trPr>
          <w:trHeight w:val="454"/>
          <w:jc w:val="center"/>
        </w:trPr>
        <w:tc>
          <w:tcPr>
            <w:tcW w:w="590" w:type="dxa"/>
            <w:vAlign w:val="center"/>
          </w:tcPr>
          <w:p w14:paraId="5FFFE422" w14:textId="77777777" w:rsidR="00CB1B9F" w:rsidRDefault="003F22F3">
            <w:pPr>
              <w:jc w:val="center"/>
              <w:rPr>
                <w:sz w:val="22"/>
              </w:rPr>
            </w:pPr>
            <w:r>
              <w:rPr>
                <w:rFonts w:hint="eastAsia"/>
                <w:sz w:val="22"/>
              </w:rPr>
              <w:t>5</w:t>
            </w:r>
          </w:p>
        </w:tc>
        <w:tc>
          <w:tcPr>
            <w:tcW w:w="987" w:type="dxa"/>
            <w:shd w:val="clear" w:color="auto" w:fill="auto"/>
            <w:vAlign w:val="center"/>
          </w:tcPr>
          <w:p w14:paraId="76DFE429" w14:textId="77777777" w:rsidR="00CB1B9F" w:rsidRDefault="003F22F3">
            <w:pPr>
              <w:jc w:val="center"/>
              <w:rPr>
                <w:sz w:val="22"/>
              </w:rPr>
            </w:pPr>
            <w:r>
              <w:rPr>
                <w:rFonts w:hint="eastAsia"/>
                <w:sz w:val="22"/>
              </w:rPr>
              <w:t>寄送时效性</w:t>
            </w:r>
          </w:p>
        </w:tc>
        <w:tc>
          <w:tcPr>
            <w:tcW w:w="7235" w:type="dxa"/>
            <w:shd w:val="clear" w:color="auto" w:fill="auto"/>
            <w:vAlign w:val="center"/>
          </w:tcPr>
          <w:p w14:paraId="0640E3BF" w14:textId="77777777" w:rsidR="00CB1B9F" w:rsidRDefault="003F22F3">
            <w:pPr>
              <w:jc w:val="left"/>
              <w:rPr>
                <w:sz w:val="22"/>
              </w:rPr>
            </w:pPr>
            <w:r>
              <w:rPr>
                <w:rFonts w:hint="eastAsia"/>
                <w:sz w:val="22"/>
              </w:rPr>
              <w:t>提供寄件时效性标准，要求与市场时效性保持一致，明确承诺寄送时效及不限于快件损坏、丢件、超时等情况下处理措施，具有可行性的</w:t>
            </w:r>
            <w:r>
              <w:rPr>
                <w:rFonts w:hint="eastAsia"/>
                <w:sz w:val="22"/>
              </w:rPr>
              <w:t>10</w:t>
            </w:r>
            <w:r>
              <w:rPr>
                <w:rFonts w:hint="eastAsia"/>
                <w:sz w:val="22"/>
              </w:rPr>
              <w:t>分，相关措施无法保证寄件人权益的不得分。</w:t>
            </w:r>
          </w:p>
        </w:tc>
        <w:tc>
          <w:tcPr>
            <w:tcW w:w="825" w:type="dxa"/>
            <w:shd w:val="clear" w:color="auto" w:fill="auto"/>
            <w:vAlign w:val="center"/>
          </w:tcPr>
          <w:p w14:paraId="026DCA9E" w14:textId="77777777" w:rsidR="00CB1B9F" w:rsidRDefault="003F22F3">
            <w:pPr>
              <w:jc w:val="center"/>
              <w:rPr>
                <w:sz w:val="22"/>
              </w:rPr>
            </w:pPr>
            <w:r>
              <w:rPr>
                <w:rFonts w:hint="eastAsia"/>
                <w:sz w:val="22"/>
              </w:rPr>
              <w:t>10</w:t>
            </w:r>
          </w:p>
        </w:tc>
        <w:tc>
          <w:tcPr>
            <w:tcW w:w="977" w:type="dxa"/>
            <w:shd w:val="clear" w:color="auto" w:fill="auto"/>
            <w:vAlign w:val="center"/>
          </w:tcPr>
          <w:p w14:paraId="4902B3AA" w14:textId="77777777" w:rsidR="00CB1B9F" w:rsidRDefault="00CB1B9F">
            <w:pPr>
              <w:jc w:val="center"/>
              <w:rPr>
                <w:sz w:val="22"/>
              </w:rPr>
            </w:pPr>
          </w:p>
        </w:tc>
      </w:tr>
    </w:tbl>
    <w:p w14:paraId="1F53AD65" w14:textId="77777777" w:rsidR="00CB1B9F" w:rsidRDefault="003F22F3">
      <w:pPr>
        <w:ind w:firstLineChars="200" w:firstLine="442"/>
        <w:outlineLvl w:val="3"/>
        <w:rPr>
          <w:rFonts w:cs="Futura-Heavy"/>
          <w:b/>
          <w:bCs/>
          <w:sz w:val="22"/>
        </w:rPr>
      </w:pPr>
      <w:bookmarkStart w:id="3" w:name="_Toc67046847"/>
      <w:bookmarkStart w:id="4" w:name="_Toc6322231"/>
      <w:bookmarkEnd w:id="2"/>
      <w:r>
        <w:rPr>
          <w:rFonts w:cs="Futura-Heavy" w:hint="eastAsia"/>
          <w:b/>
          <w:bCs/>
          <w:sz w:val="22"/>
        </w:rPr>
        <w:t>2</w:t>
      </w:r>
      <w:r>
        <w:rPr>
          <w:rFonts w:cs="Futura-Heavy" w:hint="eastAsia"/>
          <w:b/>
          <w:bCs/>
          <w:sz w:val="22"/>
        </w:rPr>
        <w:t>：</w:t>
      </w:r>
      <w:bookmarkEnd w:id="3"/>
      <w:bookmarkEnd w:id="4"/>
      <w:r>
        <w:rPr>
          <w:rFonts w:cs="Futura-Heavy" w:hint="eastAsia"/>
          <w:b/>
          <w:bCs/>
          <w:sz w:val="22"/>
        </w:rPr>
        <w:t>方案评价细则表（</w:t>
      </w:r>
      <w:r>
        <w:rPr>
          <w:rFonts w:cs="Futura-Heavy" w:hint="eastAsia"/>
          <w:b/>
          <w:bCs/>
          <w:sz w:val="22"/>
        </w:rPr>
        <w:t>30</w:t>
      </w:r>
      <w:r>
        <w:rPr>
          <w:rFonts w:cs="Futura-Heavy" w:hint="eastAsia"/>
          <w:b/>
          <w:bCs/>
          <w:sz w:val="22"/>
        </w:rPr>
        <w:t>分）</w:t>
      </w:r>
    </w:p>
    <w:p w14:paraId="66FE7543" w14:textId="77777777" w:rsidR="00CB1B9F" w:rsidRDefault="00CB1B9F">
      <w:pPr>
        <w:ind w:firstLineChars="200" w:firstLine="442"/>
        <w:outlineLvl w:val="3"/>
        <w:rPr>
          <w:rFonts w:cs="Futura-Heavy"/>
          <w:b/>
          <w:bCs/>
          <w:sz w:val="2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963"/>
        <w:gridCol w:w="7247"/>
        <w:gridCol w:w="876"/>
        <w:gridCol w:w="981"/>
      </w:tblGrid>
      <w:tr w:rsidR="00CB1B9F" w14:paraId="7D5895F9" w14:textId="77777777">
        <w:trPr>
          <w:trHeight w:val="152"/>
          <w:jc w:val="center"/>
        </w:trPr>
        <w:tc>
          <w:tcPr>
            <w:tcW w:w="613" w:type="dxa"/>
            <w:shd w:val="clear" w:color="auto" w:fill="F2F2F2" w:themeFill="background1" w:themeFillShade="F2"/>
            <w:vAlign w:val="center"/>
          </w:tcPr>
          <w:p w14:paraId="2E7DED97" w14:textId="77777777" w:rsidR="00CB1B9F" w:rsidRDefault="003F22F3">
            <w:pPr>
              <w:jc w:val="center"/>
              <w:rPr>
                <w:sz w:val="22"/>
              </w:rPr>
            </w:pPr>
            <w:bookmarkStart w:id="5" w:name="_Hlk89442205"/>
            <w:r>
              <w:rPr>
                <w:rFonts w:hint="eastAsia"/>
                <w:sz w:val="22"/>
              </w:rPr>
              <w:t>序号</w:t>
            </w:r>
          </w:p>
        </w:tc>
        <w:tc>
          <w:tcPr>
            <w:tcW w:w="963" w:type="dxa"/>
            <w:shd w:val="clear" w:color="auto" w:fill="F2F2F2" w:themeFill="background1" w:themeFillShade="F2"/>
            <w:vAlign w:val="center"/>
          </w:tcPr>
          <w:p w14:paraId="1C5FE921" w14:textId="77777777" w:rsidR="00CB1B9F" w:rsidRDefault="003F22F3">
            <w:pPr>
              <w:jc w:val="center"/>
              <w:rPr>
                <w:sz w:val="22"/>
              </w:rPr>
            </w:pPr>
            <w:r>
              <w:rPr>
                <w:rFonts w:hint="eastAsia"/>
                <w:sz w:val="22"/>
              </w:rPr>
              <w:t>评审内容</w:t>
            </w:r>
          </w:p>
        </w:tc>
        <w:tc>
          <w:tcPr>
            <w:tcW w:w="7247" w:type="dxa"/>
            <w:shd w:val="clear" w:color="auto" w:fill="F2F2F2" w:themeFill="background1" w:themeFillShade="F2"/>
            <w:vAlign w:val="center"/>
          </w:tcPr>
          <w:p w14:paraId="3D431567" w14:textId="77777777" w:rsidR="00CB1B9F" w:rsidRDefault="003F22F3">
            <w:pPr>
              <w:jc w:val="center"/>
              <w:rPr>
                <w:sz w:val="22"/>
              </w:rPr>
            </w:pPr>
            <w:r>
              <w:rPr>
                <w:rFonts w:hint="eastAsia"/>
                <w:sz w:val="22"/>
              </w:rPr>
              <w:t>评分档次及依据</w:t>
            </w:r>
          </w:p>
        </w:tc>
        <w:tc>
          <w:tcPr>
            <w:tcW w:w="876" w:type="dxa"/>
            <w:shd w:val="clear" w:color="auto" w:fill="F2F2F2" w:themeFill="background1" w:themeFillShade="F2"/>
            <w:vAlign w:val="center"/>
          </w:tcPr>
          <w:p w14:paraId="0BBCEA9E" w14:textId="77777777" w:rsidR="00CB1B9F" w:rsidRDefault="003F22F3">
            <w:pPr>
              <w:jc w:val="center"/>
              <w:rPr>
                <w:sz w:val="22"/>
              </w:rPr>
            </w:pPr>
            <w:r>
              <w:rPr>
                <w:rFonts w:hint="eastAsia"/>
                <w:sz w:val="22"/>
              </w:rPr>
              <w:t>分值（分）</w:t>
            </w:r>
          </w:p>
        </w:tc>
        <w:tc>
          <w:tcPr>
            <w:tcW w:w="981" w:type="dxa"/>
            <w:shd w:val="clear" w:color="auto" w:fill="F2F2F2" w:themeFill="background1" w:themeFillShade="F2"/>
            <w:vAlign w:val="center"/>
          </w:tcPr>
          <w:p w14:paraId="67DF39DD" w14:textId="77777777" w:rsidR="00CB1B9F" w:rsidRDefault="003F22F3">
            <w:pPr>
              <w:jc w:val="center"/>
              <w:rPr>
                <w:sz w:val="22"/>
              </w:rPr>
            </w:pPr>
            <w:r>
              <w:rPr>
                <w:rFonts w:hint="eastAsia"/>
                <w:b/>
                <w:sz w:val="22"/>
              </w:rPr>
              <w:t>得分（分）</w:t>
            </w:r>
          </w:p>
        </w:tc>
      </w:tr>
      <w:tr w:rsidR="00CB1B9F" w14:paraId="09FFBB0D" w14:textId="77777777">
        <w:trPr>
          <w:trHeight w:val="437"/>
          <w:jc w:val="center"/>
        </w:trPr>
        <w:tc>
          <w:tcPr>
            <w:tcW w:w="613" w:type="dxa"/>
            <w:vAlign w:val="center"/>
          </w:tcPr>
          <w:p w14:paraId="4D634E40" w14:textId="77777777" w:rsidR="00CB1B9F" w:rsidRDefault="00CB1B9F">
            <w:pPr>
              <w:jc w:val="center"/>
              <w:rPr>
                <w:sz w:val="22"/>
              </w:rPr>
            </w:pPr>
          </w:p>
        </w:tc>
        <w:tc>
          <w:tcPr>
            <w:tcW w:w="963" w:type="dxa"/>
            <w:vAlign w:val="center"/>
          </w:tcPr>
          <w:p w14:paraId="7293AA0F" w14:textId="77777777" w:rsidR="00CB1B9F" w:rsidRDefault="003F22F3">
            <w:pPr>
              <w:jc w:val="center"/>
              <w:rPr>
                <w:sz w:val="22"/>
              </w:rPr>
            </w:pPr>
            <w:r>
              <w:rPr>
                <w:rFonts w:hint="eastAsia"/>
                <w:sz w:val="22"/>
              </w:rPr>
              <w:t>资质</w:t>
            </w:r>
          </w:p>
        </w:tc>
        <w:tc>
          <w:tcPr>
            <w:tcW w:w="7247" w:type="dxa"/>
            <w:vAlign w:val="center"/>
          </w:tcPr>
          <w:p w14:paraId="733B6B24" w14:textId="77777777" w:rsidR="00CB1B9F" w:rsidRDefault="003F22F3">
            <w:pPr>
              <w:jc w:val="center"/>
              <w:rPr>
                <w:sz w:val="22"/>
              </w:rPr>
            </w:pPr>
            <w:r>
              <w:rPr>
                <w:rFonts w:hint="eastAsia"/>
                <w:sz w:val="22"/>
              </w:rPr>
              <w:t>项目要求独立法人，非联合体。★不符合的一票否决。</w:t>
            </w:r>
          </w:p>
        </w:tc>
        <w:tc>
          <w:tcPr>
            <w:tcW w:w="876" w:type="dxa"/>
            <w:vAlign w:val="center"/>
          </w:tcPr>
          <w:p w14:paraId="7E684005" w14:textId="77777777" w:rsidR="00CB1B9F" w:rsidRDefault="00CB1B9F">
            <w:pPr>
              <w:jc w:val="center"/>
              <w:rPr>
                <w:sz w:val="22"/>
              </w:rPr>
            </w:pPr>
          </w:p>
        </w:tc>
        <w:tc>
          <w:tcPr>
            <w:tcW w:w="981" w:type="dxa"/>
            <w:vAlign w:val="center"/>
          </w:tcPr>
          <w:p w14:paraId="4E7769BF" w14:textId="77777777" w:rsidR="00CB1B9F" w:rsidRDefault="00CB1B9F">
            <w:pPr>
              <w:jc w:val="center"/>
              <w:rPr>
                <w:sz w:val="22"/>
              </w:rPr>
            </w:pPr>
          </w:p>
        </w:tc>
      </w:tr>
      <w:tr w:rsidR="00CB1B9F" w14:paraId="41EF19D8" w14:textId="77777777">
        <w:trPr>
          <w:trHeight w:val="20"/>
          <w:jc w:val="center"/>
        </w:trPr>
        <w:tc>
          <w:tcPr>
            <w:tcW w:w="613" w:type="dxa"/>
            <w:vAlign w:val="center"/>
          </w:tcPr>
          <w:p w14:paraId="0E031CB4" w14:textId="77777777" w:rsidR="00CB1B9F" w:rsidRDefault="00CB1B9F">
            <w:pPr>
              <w:pStyle w:val="Style3"/>
              <w:widowControl w:val="0"/>
              <w:numPr>
                <w:ilvl w:val="0"/>
                <w:numId w:val="1"/>
              </w:numPr>
              <w:spacing w:line="360" w:lineRule="auto"/>
              <w:ind w:firstLineChars="0"/>
              <w:jc w:val="center"/>
              <w:rPr>
                <w:rFonts w:ascii="宋体" w:eastAsia="宋体" w:hAnsi="宋体" w:cs="等线"/>
                <w:sz w:val="22"/>
                <w:szCs w:val="22"/>
              </w:rPr>
            </w:pPr>
          </w:p>
        </w:tc>
        <w:tc>
          <w:tcPr>
            <w:tcW w:w="963" w:type="dxa"/>
            <w:shd w:val="clear" w:color="auto" w:fill="auto"/>
            <w:vAlign w:val="center"/>
          </w:tcPr>
          <w:p w14:paraId="1BA510DD" w14:textId="77777777" w:rsidR="00CB1B9F" w:rsidRDefault="003F22F3">
            <w:pPr>
              <w:jc w:val="center"/>
              <w:rPr>
                <w:sz w:val="22"/>
              </w:rPr>
            </w:pPr>
            <w:r>
              <w:rPr>
                <w:rFonts w:hint="eastAsia"/>
                <w:sz w:val="22"/>
              </w:rPr>
              <w:t>配套服务能力</w:t>
            </w:r>
          </w:p>
        </w:tc>
        <w:tc>
          <w:tcPr>
            <w:tcW w:w="7247" w:type="dxa"/>
            <w:shd w:val="clear" w:color="auto" w:fill="auto"/>
            <w:vAlign w:val="center"/>
          </w:tcPr>
          <w:p w14:paraId="7CD3FF0C" w14:textId="77777777" w:rsidR="00CB1B9F" w:rsidRDefault="003F22F3">
            <w:pPr>
              <w:jc w:val="left"/>
              <w:rPr>
                <w:sz w:val="22"/>
              </w:rPr>
            </w:pPr>
            <w:r>
              <w:rPr>
                <w:rFonts w:hint="eastAsia"/>
                <w:b/>
                <w:bCs/>
                <w:sz w:val="22"/>
              </w:rPr>
              <w:t>10</w:t>
            </w:r>
            <w:r>
              <w:rPr>
                <w:rFonts w:hint="eastAsia"/>
                <w:b/>
                <w:bCs/>
                <w:sz w:val="22"/>
              </w:rPr>
              <w:t>分</w:t>
            </w:r>
            <w:r>
              <w:rPr>
                <w:rFonts w:hint="eastAsia"/>
                <w:sz w:val="22"/>
              </w:rPr>
              <w:t>：可提供</w:t>
            </w:r>
            <w:r>
              <w:rPr>
                <w:rFonts w:hint="eastAsia"/>
                <w:sz w:val="22"/>
              </w:rPr>
              <w:t>7</w:t>
            </w:r>
            <w:r>
              <w:rPr>
                <w:rFonts w:hint="eastAsia"/>
                <w:sz w:val="22"/>
              </w:rPr>
              <w:t>×</w:t>
            </w:r>
            <w:r>
              <w:rPr>
                <w:rFonts w:hint="eastAsia"/>
                <w:sz w:val="22"/>
              </w:rPr>
              <w:t>24</w:t>
            </w:r>
            <w:r>
              <w:rPr>
                <w:rFonts w:hint="eastAsia"/>
                <w:sz w:val="22"/>
              </w:rPr>
              <w:t>小时主动客服、适配医院系统的全套硬件设备、专属业务咨询专员等服务，响应机制完善，服务保障措施具体可行。</w:t>
            </w:r>
          </w:p>
          <w:p w14:paraId="630E5762" w14:textId="77777777" w:rsidR="00CB1B9F" w:rsidRDefault="003F22F3">
            <w:pPr>
              <w:jc w:val="left"/>
              <w:rPr>
                <w:sz w:val="22"/>
              </w:rPr>
            </w:pPr>
            <w:r>
              <w:rPr>
                <w:rFonts w:hint="eastAsia"/>
                <w:b/>
                <w:bCs/>
                <w:sz w:val="22"/>
              </w:rPr>
              <w:t>7</w:t>
            </w:r>
            <w:r>
              <w:rPr>
                <w:rFonts w:hint="eastAsia"/>
                <w:b/>
                <w:bCs/>
                <w:sz w:val="22"/>
              </w:rPr>
              <w:t>分</w:t>
            </w:r>
            <w:r>
              <w:rPr>
                <w:rFonts w:hint="eastAsia"/>
                <w:sz w:val="22"/>
              </w:rPr>
              <w:t>：可提供工作日主动客服及基本配套硬件设备，响应机制基本完善，服务保障措施较合理。</w:t>
            </w:r>
          </w:p>
          <w:p w14:paraId="69C157CC" w14:textId="77777777" w:rsidR="00CB1B9F" w:rsidRDefault="003F22F3">
            <w:pPr>
              <w:jc w:val="left"/>
              <w:rPr>
                <w:sz w:val="22"/>
              </w:rPr>
            </w:pPr>
            <w:r>
              <w:rPr>
                <w:rFonts w:hint="eastAsia"/>
                <w:b/>
                <w:bCs/>
                <w:sz w:val="22"/>
              </w:rPr>
              <w:t>3</w:t>
            </w:r>
            <w:r>
              <w:rPr>
                <w:rFonts w:hint="eastAsia"/>
                <w:b/>
                <w:bCs/>
                <w:sz w:val="22"/>
              </w:rPr>
              <w:t>分</w:t>
            </w:r>
            <w:r>
              <w:rPr>
                <w:rFonts w:hint="eastAsia"/>
                <w:sz w:val="22"/>
              </w:rPr>
              <w:t>：仅能提供基础客服及通用配套设备，响应机制一般，无额外特色服务。</w:t>
            </w:r>
          </w:p>
          <w:p w14:paraId="7E4DD7C5" w14:textId="77777777" w:rsidR="00CB1B9F" w:rsidRDefault="003F22F3">
            <w:pPr>
              <w:jc w:val="left"/>
              <w:rPr>
                <w:sz w:val="22"/>
              </w:rPr>
            </w:pPr>
            <w:r>
              <w:rPr>
                <w:rFonts w:hint="eastAsia"/>
                <w:b/>
                <w:bCs/>
                <w:sz w:val="22"/>
              </w:rPr>
              <w:t>0</w:t>
            </w:r>
            <w:r>
              <w:rPr>
                <w:rFonts w:hint="eastAsia"/>
                <w:b/>
                <w:bCs/>
                <w:sz w:val="22"/>
              </w:rPr>
              <w:t>分</w:t>
            </w:r>
            <w:r>
              <w:rPr>
                <w:rFonts w:hint="eastAsia"/>
                <w:sz w:val="22"/>
              </w:rPr>
              <w:t>：配套服务能力弱，无法满足基本需求，或方案未提供相关服务说明。</w:t>
            </w:r>
          </w:p>
        </w:tc>
        <w:tc>
          <w:tcPr>
            <w:tcW w:w="876" w:type="dxa"/>
            <w:vAlign w:val="center"/>
          </w:tcPr>
          <w:p w14:paraId="23A7EEFB" w14:textId="77777777" w:rsidR="00CB1B9F" w:rsidRDefault="003F22F3">
            <w:pPr>
              <w:jc w:val="center"/>
              <w:rPr>
                <w:rFonts w:cs="等线"/>
                <w:sz w:val="22"/>
              </w:rPr>
            </w:pPr>
            <w:r>
              <w:rPr>
                <w:rFonts w:hint="eastAsia"/>
                <w:sz w:val="22"/>
              </w:rPr>
              <w:t>10</w:t>
            </w:r>
          </w:p>
        </w:tc>
        <w:tc>
          <w:tcPr>
            <w:tcW w:w="981" w:type="dxa"/>
            <w:vAlign w:val="center"/>
          </w:tcPr>
          <w:p w14:paraId="37B75232" w14:textId="77777777" w:rsidR="00CB1B9F" w:rsidRDefault="00CB1B9F">
            <w:pPr>
              <w:jc w:val="center"/>
              <w:rPr>
                <w:sz w:val="22"/>
              </w:rPr>
            </w:pPr>
          </w:p>
        </w:tc>
      </w:tr>
      <w:tr w:rsidR="00CB1B9F" w14:paraId="05A6667E" w14:textId="77777777">
        <w:trPr>
          <w:trHeight w:val="20"/>
          <w:jc w:val="center"/>
        </w:trPr>
        <w:tc>
          <w:tcPr>
            <w:tcW w:w="613" w:type="dxa"/>
            <w:vAlign w:val="center"/>
          </w:tcPr>
          <w:p w14:paraId="4481CDD8" w14:textId="77777777" w:rsidR="00CB1B9F" w:rsidRDefault="00CB1B9F">
            <w:pPr>
              <w:pStyle w:val="Style3"/>
              <w:widowControl w:val="0"/>
              <w:numPr>
                <w:ilvl w:val="0"/>
                <w:numId w:val="1"/>
              </w:numPr>
              <w:spacing w:line="360" w:lineRule="auto"/>
              <w:ind w:firstLineChars="0"/>
              <w:jc w:val="center"/>
              <w:rPr>
                <w:rFonts w:ascii="宋体" w:eastAsia="宋体" w:hAnsi="宋体" w:cs="等线"/>
                <w:sz w:val="22"/>
                <w:szCs w:val="22"/>
              </w:rPr>
            </w:pPr>
          </w:p>
        </w:tc>
        <w:tc>
          <w:tcPr>
            <w:tcW w:w="963" w:type="dxa"/>
            <w:vAlign w:val="center"/>
          </w:tcPr>
          <w:p w14:paraId="494C5903" w14:textId="77777777" w:rsidR="00CB1B9F" w:rsidRDefault="003F22F3">
            <w:pPr>
              <w:jc w:val="center"/>
              <w:rPr>
                <w:sz w:val="22"/>
              </w:rPr>
            </w:pPr>
            <w:r>
              <w:rPr>
                <w:rFonts w:hint="eastAsia"/>
                <w:sz w:val="22"/>
              </w:rPr>
              <w:t>全流程管控能力</w:t>
            </w:r>
          </w:p>
        </w:tc>
        <w:tc>
          <w:tcPr>
            <w:tcW w:w="7247" w:type="dxa"/>
            <w:vAlign w:val="center"/>
          </w:tcPr>
          <w:p w14:paraId="30EE61DF" w14:textId="77777777" w:rsidR="00CB1B9F" w:rsidRDefault="003F22F3">
            <w:pPr>
              <w:jc w:val="left"/>
              <w:rPr>
                <w:sz w:val="22"/>
              </w:rPr>
            </w:pPr>
            <w:r>
              <w:rPr>
                <w:rFonts w:hint="eastAsia"/>
                <w:b/>
                <w:bCs/>
                <w:sz w:val="22"/>
              </w:rPr>
              <w:t>10</w:t>
            </w:r>
            <w:r>
              <w:rPr>
                <w:rFonts w:hint="eastAsia"/>
                <w:b/>
                <w:bCs/>
                <w:sz w:val="22"/>
              </w:rPr>
              <w:t>分：</w:t>
            </w:r>
            <w:r>
              <w:rPr>
                <w:rFonts w:hint="eastAsia"/>
                <w:sz w:val="22"/>
              </w:rPr>
              <w:t>可实现资料批量打包、取件、邮件查询、签收确认等全流程实时监控，各环节均有明确管控措施，运输过程完全符合邮政、快递行业规范及医疗文书运输安全要求，方案可落地性强。</w:t>
            </w:r>
          </w:p>
          <w:p w14:paraId="1AA70BF6" w14:textId="77777777" w:rsidR="00CB1B9F" w:rsidRDefault="003F22F3">
            <w:pPr>
              <w:jc w:val="left"/>
              <w:rPr>
                <w:sz w:val="22"/>
              </w:rPr>
            </w:pPr>
            <w:r>
              <w:rPr>
                <w:rFonts w:hint="eastAsia"/>
                <w:b/>
                <w:bCs/>
                <w:sz w:val="22"/>
              </w:rPr>
              <w:t>7</w:t>
            </w:r>
            <w:r>
              <w:rPr>
                <w:rFonts w:hint="eastAsia"/>
                <w:b/>
                <w:bCs/>
                <w:sz w:val="22"/>
              </w:rPr>
              <w:t>分</w:t>
            </w:r>
            <w:r>
              <w:rPr>
                <w:rFonts w:hint="eastAsia"/>
                <w:sz w:val="22"/>
              </w:rPr>
              <w:t>：可实现全流程节点管控，运输过程基本符合相关规定，管控措施较完善。</w:t>
            </w:r>
          </w:p>
          <w:p w14:paraId="4EBCDD02" w14:textId="77777777" w:rsidR="00CB1B9F" w:rsidRDefault="003F22F3">
            <w:pPr>
              <w:jc w:val="left"/>
              <w:rPr>
                <w:sz w:val="22"/>
              </w:rPr>
            </w:pPr>
            <w:r>
              <w:rPr>
                <w:rFonts w:hint="eastAsia"/>
                <w:b/>
                <w:bCs/>
                <w:sz w:val="22"/>
              </w:rPr>
              <w:t>3</w:t>
            </w:r>
            <w:r>
              <w:rPr>
                <w:rFonts w:hint="eastAsia"/>
                <w:b/>
                <w:bCs/>
                <w:sz w:val="22"/>
              </w:rPr>
              <w:t>分</w:t>
            </w:r>
            <w:r>
              <w:rPr>
                <w:rFonts w:hint="eastAsia"/>
                <w:sz w:val="22"/>
              </w:rPr>
              <w:t>：仅能实现部分环节管控，运输过程存在一定风险隐患，管控措施不够具体。</w:t>
            </w:r>
          </w:p>
          <w:p w14:paraId="1781B5F2" w14:textId="77777777" w:rsidR="00CB1B9F" w:rsidRDefault="003F22F3">
            <w:pPr>
              <w:jc w:val="left"/>
              <w:rPr>
                <w:rFonts w:cs="Calibri Light"/>
                <w:sz w:val="22"/>
              </w:rPr>
            </w:pPr>
            <w:r>
              <w:rPr>
                <w:rFonts w:hint="eastAsia"/>
                <w:b/>
                <w:bCs/>
                <w:sz w:val="22"/>
              </w:rPr>
              <w:t>0</w:t>
            </w:r>
            <w:r>
              <w:rPr>
                <w:rFonts w:hint="eastAsia"/>
                <w:b/>
                <w:bCs/>
                <w:sz w:val="22"/>
              </w:rPr>
              <w:t>分</w:t>
            </w:r>
            <w:r>
              <w:rPr>
                <w:rFonts w:hint="eastAsia"/>
                <w:sz w:val="22"/>
              </w:rPr>
              <w:t>：无全流程管控方案，或方案不可实施，无法保障运输安全。</w:t>
            </w:r>
            <w:r>
              <w:rPr>
                <w:rFonts w:hint="eastAsia"/>
                <w:sz w:val="22"/>
              </w:rPr>
              <w:t xml:space="preserve"> </w:t>
            </w:r>
          </w:p>
        </w:tc>
        <w:tc>
          <w:tcPr>
            <w:tcW w:w="876" w:type="dxa"/>
            <w:vAlign w:val="center"/>
          </w:tcPr>
          <w:p w14:paraId="67CAFF35" w14:textId="77777777" w:rsidR="00CB1B9F" w:rsidRDefault="003F22F3">
            <w:pPr>
              <w:jc w:val="center"/>
              <w:rPr>
                <w:rFonts w:cs="等线"/>
                <w:sz w:val="22"/>
              </w:rPr>
            </w:pPr>
            <w:r>
              <w:rPr>
                <w:rFonts w:cs="等线" w:hint="eastAsia"/>
                <w:sz w:val="22"/>
              </w:rPr>
              <w:t>10</w:t>
            </w:r>
          </w:p>
        </w:tc>
        <w:tc>
          <w:tcPr>
            <w:tcW w:w="981" w:type="dxa"/>
            <w:vAlign w:val="center"/>
          </w:tcPr>
          <w:p w14:paraId="715A6F2E" w14:textId="77777777" w:rsidR="00CB1B9F" w:rsidRDefault="00CB1B9F">
            <w:pPr>
              <w:jc w:val="center"/>
              <w:rPr>
                <w:rFonts w:cs="等线"/>
                <w:sz w:val="22"/>
              </w:rPr>
            </w:pPr>
          </w:p>
        </w:tc>
      </w:tr>
      <w:tr w:rsidR="00CB1B9F" w14:paraId="4EA3994D" w14:textId="77777777">
        <w:trPr>
          <w:trHeight w:val="20"/>
          <w:jc w:val="center"/>
        </w:trPr>
        <w:tc>
          <w:tcPr>
            <w:tcW w:w="613" w:type="dxa"/>
            <w:vAlign w:val="center"/>
          </w:tcPr>
          <w:p w14:paraId="10701F11" w14:textId="77777777" w:rsidR="00CB1B9F" w:rsidRDefault="00CB1B9F">
            <w:pPr>
              <w:pStyle w:val="Style3"/>
              <w:widowControl w:val="0"/>
              <w:numPr>
                <w:ilvl w:val="0"/>
                <w:numId w:val="1"/>
              </w:numPr>
              <w:spacing w:line="360" w:lineRule="auto"/>
              <w:ind w:firstLineChars="0"/>
              <w:jc w:val="center"/>
              <w:rPr>
                <w:rFonts w:ascii="宋体" w:eastAsia="宋体" w:hAnsi="宋体" w:cs="等线"/>
                <w:sz w:val="22"/>
                <w:szCs w:val="22"/>
              </w:rPr>
            </w:pPr>
          </w:p>
        </w:tc>
        <w:tc>
          <w:tcPr>
            <w:tcW w:w="963" w:type="dxa"/>
            <w:vAlign w:val="center"/>
          </w:tcPr>
          <w:p w14:paraId="513B3CF9" w14:textId="77777777" w:rsidR="00CB1B9F" w:rsidRDefault="003F22F3">
            <w:pPr>
              <w:jc w:val="center"/>
              <w:rPr>
                <w:sz w:val="22"/>
              </w:rPr>
            </w:pPr>
            <w:r>
              <w:rPr>
                <w:rFonts w:hint="eastAsia"/>
                <w:sz w:val="22"/>
              </w:rPr>
              <w:t>应急预案与违约处理</w:t>
            </w:r>
          </w:p>
        </w:tc>
        <w:tc>
          <w:tcPr>
            <w:tcW w:w="7247" w:type="dxa"/>
            <w:vAlign w:val="center"/>
          </w:tcPr>
          <w:p w14:paraId="146F40E4" w14:textId="77777777" w:rsidR="00CB1B9F" w:rsidRDefault="003F22F3">
            <w:pPr>
              <w:pStyle w:val="a8"/>
              <w:rPr>
                <w:sz w:val="22"/>
                <w:szCs w:val="22"/>
              </w:rPr>
            </w:pPr>
            <w:r>
              <w:rPr>
                <w:rFonts w:hint="eastAsia"/>
                <w:b/>
                <w:bCs/>
                <w:sz w:val="22"/>
                <w:szCs w:val="22"/>
              </w:rPr>
              <w:t>10</w:t>
            </w:r>
            <w:r>
              <w:rPr>
                <w:rFonts w:hint="eastAsia"/>
                <w:b/>
                <w:bCs/>
                <w:sz w:val="22"/>
                <w:szCs w:val="22"/>
              </w:rPr>
              <w:t>分</w:t>
            </w:r>
            <w:r>
              <w:rPr>
                <w:rFonts w:hint="eastAsia"/>
                <w:sz w:val="22"/>
                <w:szCs w:val="22"/>
              </w:rPr>
              <w:t>：针对揽收延迟、运输丢失</w:t>
            </w:r>
            <w:r>
              <w:rPr>
                <w:rFonts w:hint="eastAsia"/>
                <w:sz w:val="22"/>
                <w:szCs w:val="22"/>
              </w:rPr>
              <w:t>/</w:t>
            </w:r>
            <w:r>
              <w:rPr>
                <w:rFonts w:hint="eastAsia"/>
                <w:sz w:val="22"/>
                <w:szCs w:val="22"/>
              </w:rPr>
              <w:t>损坏、信息泄露等风险制定了详细、可落地的应急预案及违约赔付机制，责任划分清晰，赔付标准明确。</w:t>
            </w:r>
          </w:p>
          <w:p w14:paraId="0CF3F5CF" w14:textId="77777777" w:rsidR="00CB1B9F" w:rsidRDefault="003F22F3">
            <w:pPr>
              <w:pStyle w:val="a8"/>
              <w:rPr>
                <w:sz w:val="22"/>
                <w:szCs w:val="22"/>
              </w:rPr>
            </w:pPr>
            <w:r>
              <w:rPr>
                <w:rFonts w:hint="eastAsia"/>
                <w:b/>
                <w:bCs/>
                <w:sz w:val="22"/>
                <w:szCs w:val="22"/>
              </w:rPr>
              <w:t>7</w:t>
            </w:r>
            <w:r>
              <w:rPr>
                <w:rFonts w:hint="eastAsia"/>
                <w:b/>
                <w:bCs/>
                <w:sz w:val="22"/>
                <w:szCs w:val="22"/>
              </w:rPr>
              <w:t>分</w:t>
            </w:r>
            <w:r>
              <w:rPr>
                <w:rFonts w:hint="eastAsia"/>
                <w:sz w:val="22"/>
                <w:szCs w:val="22"/>
              </w:rPr>
              <w:t>：制定了基本的应急预案及违约处理方式，内容较合理。</w:t>
            </w:r>
          </w:p>
          <w:p w14:paraId="462041BA" w14:textId="77777777" w:rsidR="00CB1B9F" w:rsidRDefault="003F22F3">
            <w:pPr>
              <w:pStyle w:val="a8"/>
              <w:rPr>
                <w:sz w:val="22"/>
                <w:szCs w:val="22"/>
              </w:rPr>
            </w:pPr>
            <w:r>
              <w:rPr>
                <w:rFonts w:hint="eastAsia"/>
                <w:b/>
                <w:sz w:val="22"/>
                <w:szCs w:val="22"/>
              </w:rPr>
              <w:t>3</w:t>
            </w:r>
            <w:r>
              <w:rPr>
                <w:rFonts w:hint="eastAsia"/>
                <w:b/>
                <w:sz w:val="22"/>
                <w:szCs w:val="22"/>
              </w:rPr>
              <w:t>分</w:t>
            </w:r>
            <w:r>
              <w:rPr>
                <w:rFonts w:hint="eastAsia"/>
                <w:sz w:val="22"/>
                <w:szCs w:val="22"/>
              </w:rPr>
              <w:t>：仅提及有应急预案，未明确具体措施及处理方式。</w:t>
            </w:r>
          </w:p>
          <w:p w14:paraId="56065846" w14:textId="77777777" w:rsidR="00CB1B9F" w:rsidRDefault="003F22F3">
            <w:pPr>
              <w:pStyle w:val="a8"/>
              <w:rPr>
                <w:sz w:val="22"/>
                <w:szCs w:val="22"/>
              </w:rPr>
            </w:pPr>
            <w:r>
              <w:rPr>
                <w:rFonts w:hint="eastAsia"/>
                <w:b/>
                <w:bCs/>
                <w:sz w:val="22"/>
                <w:szCs w:val="22"/>
              </w:rPr>
              <w:t>0</w:t>
            </w:r>
            <w:r>
              <w:rPr>
                <w:rFonts w:hint="eastAsia"/>
                <w:b/>
                <w:bCs/>
                <w:sz w:val="22"/>
                <w:szCs w:val="22"/>
              </w:rPr>
              <w:t>分</w:t>
            </w:r>
            <w:r>
              <w:rPr>
                <w:rFonts w:hint="eastAsia"/>
                <w:sz w:val="22"/>
                <w:szCs w:val="22"/>
              </w:rPr>
              <w:t>：无应急预案及违约处理方案，或方案不可实施。</w:t>
            </w:r>
          </w:p>
        </w:tc>
        <w:tc>
          <w:tcPr>
            <w:tcW w:w="876" w:type="dxa"/>
            <w:vAlign w:val="center"/>
          </w:tcPr>
          <w:p w14:paraId="5FA80647" w14:textId="77777777" w:rsidR="00CB1B9F" w:rsidRDefault="003F22F3">
            <w:pPr>
              <w:jc w:val="center"/>
              <w:rPr>
                <w:rFonts w:cs="等线"/>
                <w:sz w:val="22"/>
              </w:rPr>
            </w:pPr>
            <w:r>
              <w:rPr>
                <w:rFonts w:cs="等线" w:hint="eastAsia"/>
                <w:sz w:val="22"/>
              </w:rPr>
              <w:t>10</w:t>
            </w:r>
          </w:p>
        </w:tc>
        <w:tc>
          <w:tcPr>
            <w:tcW w:w="981" w:type="dxa"/>
            <w:vAlign w:val="center"/>
          </w:tcPr>
          <w:p w14:paraId="24F71ED1" w14:textId="77777777" w:rsidR="00CB1B9F" w:rsidRDefault="00CB1B9F">
            <w:pPr>
              <w:jc w:val="center"/>
              <w:rPr>
                <w:rFonts w:cs="等线"/>
                <w:sz w:val="22"/>
              </w:rPr>
            </w:pPr>
          </w:p>
        </w:tc>
      </w:tr>
      <w:bookmarkEnd w:id="5"/>
    </w:tbl>
    <w:p w14:paraId="22212B6C" w14:textId="77777777" w:rsidR="00CB1B9F" w:rsidRDefault="00CB1B9F">
      <w:pPr>
        <w:pStyle w:val="2"/>
        <w:ind w:leftChars="0" w:left="0" w:firstLineChars="0" w:firstLine="0"/>
        <w:rPr>
          <w:sz w:val="22"/>
        </w:rPr>
      </w:pPr>
    </w:p>
    <w:p w14:paraId="6ACB14F7" w14:textId="77777777" w:rsidR="00CB1B9F" w:rsidRDefault="003F22F3">
      <w:pPr>
        <w:ind w:firstLineChars="200" w:firstLine="442"/>
        <w:outlineLvl w:val="3"/>
        <w:rPr>
          <w:rFonts w:cs="Futura-Heavy"/>
          <w:b/>
          <w:bCs/>
          <w:sz w:val="22"/>
        </w:rPr>
      </w:pPr>
      <w:r>
        <w:rPr>
          <w:rFonts w:cs="Futura-Heavy" w:hint="eastAsia"/>
          <w:b/>
          <w:bCs/>
          <w:sz w:val="22"/>
        </w:rPr>
        <w:t>3</w:t>
      </w:r>
      <w:r>
        <w:rPr>
          <w:rFonts w:cs="Futura-Heavy" w:hint="eastAsia"/>
          <w:b/>
          <w:bCs/>
          <w:sz w:val="22"/>
        </w:rPr>
        <w:t>：价格</w:t>
      </w:r>
      <w:r>
        <w:rPr>
          <w:rFonts w:cs="Futura-Heavy"/>
          <w:b/>
          <w:bCs/>
          <w:sz w:val="22"/>
        </w:rPr>
        <w:t>评分细则</w:t>
      </w:r>
      <w:r>
        <w:rPr>
          <w:rFonts w:cs="Futura-Heavy" w:hint="eastAsia"/>
          <w:b/>
          <w:bCs/>
          <w:sz w:val="22"/>
        </w:rPr>
        <w:t>表（</w:t>
      </w:r>
      <w:r>
        <w:rPr>
          <w:rFonts w:cs="Futura-Heavy" w:hint="eastAsia"/>
          <w:b/>
          <w:bCs/>
          <w:sz w:val="22"/>
        </w:rPr>
        <w:t>10</w:t>
      </w:r>
      <w:r>
        <w:rPr>
          <w:rFonts w:cs="Futura-Heavy" w:hint="eastAsia"/>
          <w:b/>
          <w:bCs/>
          <w:sz w:val="22"/>
        </w:rPr>
        <w:t>分）</w:t>
      </w:r>
    </w:p>
    <w:p w14:paraId="4E4CB259" w14:textId="77777777" w:rsidR="00CB1B9F" w:rsidRDefault="00CB1B9F">
      <w:pPr>
        <w:ind w:firstLineChars="200" w:firstLine="442"/>
        <w:outlineLvl w:val="3"/>
        <w:rPr>
          <w:rFonts w:cs="Futura-Heavy"/>
          <w:b/>
          <w:bCs/>
          <w:color w:val="FF0000"/>
          <w:sz w:val="2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957"/>
        <w:gridCol w:w="7254"/>
        <w:gridCol w:w="879"/>
        <w:gridCol w:w="965"/>
      </w:tblGrid>
      <w:tr w:rsidR="00CB1B9F" w14:paraId="23D16835" w14:textId="77777777">
        <w:trPr>
          <w:trHeight w:val="482"/>
          <w:jc w:val="center"/>
        </w:trPr>
        <w:tc>
          <w:tcPr>
            <w:tcW w:w="626" w:type="dxa"/>
            <w:shd w:val="clear" w:color="auto" w:fill="F2F2F2" w:themeFill="background1" w:themeFillShade="F2"/>
            <w:vAlign w:val="center"/>
          </w:tcPr>
          <w:p w14:paraId="1D6E8232" w14:textId="77777777" w:rsidR="00CB1B9F" w:rsidRDefault="003F22F3">
            <w:pPr>
              <w:pStyle w:val="TableParagraph"/>
              <w:jc w:val="center"/>
              <w:rPr>
                <w:b/>
                <w:sz w:val="22"/>
                <w:szCs w:val="22"/>
              </w:rPr>
            </w:pPr>
            <w:r>
              <w:rPr>
                <w:rFonts w:hint="eastAsia"/>
                <w:b/>
                <w:sz w:val="22"/>
                <w:szCs w:val="22"/>
              </w:rPr>
              <w:lastRenderedPageBreak/>
              <w:t>序号</w:t>
            </w:r>
          </w:p>
        </w:tc>
        <w:tc>
          <w:tcPr>
            <w:tcW w:w="959" w:type="dxa"/>
            <w:shd w:val="clear" w:color="auto" w:fill="F2F2F2" w:themeFill="background1" w:themeFillShade="F2"/>
            <w:vAlign w:val="center"/>
          </w:tcPr>
          <w:p w14:paraId="4F6EF5D1" w14:textId="77777777" w:rsidR="00CB1B9F" w:rsidRDefault="003F22F3">
            <w:pPr>
              <w:pStyle w:val="TableParagraph"/>
              <w:jc w:val="center"/>
              <w:rPr>
                <w:b/>
                <w:sz w:val="22"/>
                <w:szCs w:val="22"/>
              </w:rPr>
            </w:pPr>
            <w:r>
              <w:rPr>
                <w:rFonts w:hint="eastAsia"/>
                <w:b/>
                <w:sz w:val="22"/>
                <w:szCs w:val="22"/>
              </w:rPr>
              <w:t>评审内容</w:t>
            </w:r>
          </w:p>
        </w:tc>
        <w:tc>
          <w:tcPr>
            <w:tcW w:w="7275" w:type="dxa"/>
            <w:shd w:val="clear" w:color="auto" w:fill="F2F2F2" w:themeFill="background1" w:themeFillShade="F2"/>
            <w:vAlign w:val="center"/>
          </w:tcPr>
          <w:p w14:paraId="65ECE995" w14:textId="77777777" w:rsidR="00CB1B9F" w:rsidRDefault="003F22F3">
            <w:pPr>
              <w:pStyle w:val="TableParagraph"/>
              <w:jc w:val="center"/>
              <w:rPr>
                <w:b/>
                <w:sz w:val="22"/>
                <w:szCs w:val="22"/>
              </w:rPr>
            </w:pPr>
            <w:r>
              <w:rPr>
                <w:rFonts w:hint="eastAsia"/>
                <w:b/>
                <w:sz w:val="22"/>
                <w:szCs w:val="22"/>
              </w:rPr>
              <w:t>评分档次及依据</w:t>
            </w:r>
          </w:p>
          <w:p w14:paraId="46C2D3AB" w14:textId="77777777" w:rsidR="00CB1B9F" w:rsidRDefault="00CB1B9F">
            <w:pPr>
              <w:rPr>
                <w:lang w:val="zh-CN" w:bidi="zh-CN"/>
              </w:rPr>
            </w:pPr>
          </w:p>
        </w:tc>
        <w:tc>
          <w:tcPr>
            <w:tcW w:w="855" w:type="dxa"/>
            <w:shd w:val="clear" w:color="auto" w:fill="F2F2F2" w:themeFill="background1" w:themeFillShade="F2"/>
            <w:vAlign w:val="center"/>
          </w:tcPr>
          <w:p w14:paraId="6B14942B" w14:textId="77777777" w:rsidR="00CB1B9F" w:rsidRDefault="003F22F3">
            <w:pPr>
              <w:pStyle w:val="TableParagraph"/>
              <w:jc w:val="center"/>
              <w:rPr>
                <w:b/>
                <w:sz w:val="22"/>
                <w:szCs w:val="22"/>
              </w:rPr>
            </w:pPr>
            <w:r>
              <w:rPr>
                <w:rFonts w:hint="eastAsia"/>
                <w:b/>
                <w:sz w:val="22"/>
                <w:szCs w:val="22"/>
              </w:rPr>
              <w:t>分值（分）</w:t>
            </w:r>
          </w:p>
        </w:tc>
        <w:tc>
          <w:tcPr>
            <w:tcW w:w="965" w:type="dxa"/>
            <w:shd w:val="clear" w:color="auto" w:fill="F2F2F2" w:themeFill="background1" w:themeFillShade="F2"/>
            <w:vAlign w:val="center"/>
          </w:tcPr>
          <w:p w14:paraId="4DA7E15B" w14:textId="77777777" w:rsidR="00CB1B9F" w:rsidRDefault="003F22F3">
            <w:pPr>
              <w:pStyle w:val="TableParagraph"/>
              <w:jc w:val="center"/>
              <w:rPr>
                <w:b/>
                <w:sz w:val="22"/>
                <w:szCs w:val="22"/>
              </w:rPr>
            </w:pPr>
            <w:r>
              <w:rPr>
                <w:rFonts w:hint="eastAsia"/>
                <w:b/>
                <w:sz w:val="22"/>
                <w:szCs w:val="22"/>
                <w:lang w:val="en-US"/>
              </w:rPr>
              <w:t>得分（分）</w:t>
            </w:r>
          </w:p>
        </w:tc>
      </w:tr>
      <w:tr w:rsidR="00CB1B9F" w14:paraId="00F1C654" w14:textId="77777777">
        <w:trPr>
          <w:trHeight w:val="68"/>
          <w:jc w:val="center"/>
        </w:trPr>
        <w:tc>
          <w:tcPr>
            <w:tcW w:w="626" w:type="dxa"/>
            <w:tcBorders>
              <w:bottom w:val="single" w:sz="4" w:space="0" w:color="auto"/>
            </w:tcBorders>
            <w:vAlign w:val="center"/>
          </w:tcPr>
          <w:p w14:paraId="70A06565" w14:textId="77777777" w:rsidR="00CB1B9F" w:rsidRDefault="003F22F3">
            <w:pPr>
              <w:spacing w:beforeLines="50" w:before="156" w:afterLines="50" w:after="156"/>
              <w:jc w:val="center"/>
              <w:rPr>
                <w:rFonts w:cs="Courier New"/>
                <w:sz w:val="22"/>
              </w:rPr>
            </w:pPr>
            <w:r>
              <w:rPr>
                <w:rFonts w:cs="Courier New" w:hint="eastAsia"/>
                <w:sz w:val="22"/>
              </w:rPr>
              <w:t>1</w:t>
            </w:r>
          </w:p>
        </w:tc>
        <w:tc>
          <w:tcPr>
            <w:tcW w:w="959" w:type="dxa"/>
            <w:tcBorders>
              <w:bottom w:val="single" w:sz="4" w:space="0" w:color="auto"/>
            </w:tcBorders>
            <w:vAlign w:val="center"/>
          </w:tcPr>
          <w:p w14:paraId="56DD5C22" w14:textId="77777777" w:rsidR="00CB1B9F" w:rsidRDefault="003F22F3">
            <w:pPr>
              <w:spacing w:beforeLines="50" w:before="156" w:afterLines="50" w:after="156"/>
              <w:jc w:val="center"/>
              <w:rPr>
                <w:rFonts w:cs="Courier New"/>
                <w:sz w:val="22"/>
              </w:rPr>
            </w:pPr>
            <w:r>
              <w:rPr>
                <w:rFonts w:cs="Courier New" w:hint="eastAsia"/>
                <w:sz w:val="22"/>
              </w:rPr>
              <w:t>管理费报价</w:t>
            </w:r>
          </w:p>
        </w:tc>
        <w:tc>
          <w:tcPr>
            <w:tcW w:w="7275" w:type="dxa"/>
            <w:tcBorders>
              <w:bottom w:val="single" w:sz="4" w:space="0" w:color="auto"/>
            </w:tcBorders>
            <w:vAlign w:val="center"/>
          </w:tcPr>
          <w:p w14:paraId="6AE59862" w14:textId="77777777" w:rsidR="00CB1B9F" w:rsidRDefault="003F22F3">
            <w:pPr>
              <w:pStyle w:val="a4"/>
              <w:rPr>
                <w:sz w:val="22"/>
              </w:rPr>
            </w:pPr>
            <w:r>
              <w:rPr>
                <w:rFonts w:hint="eastAsia"/>
                <w:sz w:val="22"/>
              </w:rPr>
              <w:t>因涉及人力物力，医院拟按订单收取服务商管理费用，报价需合理、透明，包含服务过程中产生的所有相关费用</w:t>
            </w:r>
            <w:r>
              <w:rPr>
                <w:rFonts w:hint="eastAsia"/>
                <w:sz w:val="22"/>
              </w:rPr>
              <w:t>，</w:t>
            </w:r>
            <w:r>
              <w:rPr>
                <w:rFonts w:hint="eastAsia"/>
                <w:sz w:val="22"/>
              </w:rPr>
              <w:t>参考价格每份</w:t>
            </w:r>
            <w:r>
              <w:rPr>
                <w:rFonts w:hint="eastAsia"/>
                <w:sz w:val="22"/>
              </w:rPr>
              <w:t>1</w:t>
            </w:r>
            <w:r>
              <w:rPr>
                <w:rFonts w:hint="eastAsia"/>
                <w:sz w:val="22"/>
              </w:rPr>
              <w:t>元</w:t>
            </w:r>
            <w:bookmarkStart w:id="6" w:name="_GoBack"/>
            <w:bookmarkEnd w:id="6"/>
            <w:r>
              <w:rPr>
                <w:rFonts w:hint="eastAsia"/>
                <w:sz w:val="22"/>
              </w:rPr>
              <w:t>。</w:t>
            </w:r>
            <w:r>
              <w:rPr>
                <w:rFonts w:hint="eastAsia"/>
                <w:sz w:val="22"/>
              </w:rPr>
              <w:t xml:space="preserve"> </w:t>
            </w:r>
            <w:r>
              <w:rPr>
                <w:sz w:val="22"/>
                <w:szCs w:val="24"/>
              </w:rPr>
              <w:t>未提供</w:t>
            </w:r>
            <w:r>
              <w:rPr>
                <w:rFonts w:hint="eastAsia"/>
                <w:sz w:val="22"/>
                <w:szCs w:val="24"/>
              </w:rPr>
              <w:t>管理</w:t>
            </w:r>
            <w:r>
              <w:rPr>
                <w:sz w:val="22"/>
                <w:szCs w:val="24"/>
              </w:rPr>
              <w:t>费的按</w:t>
            </w:r>
            <w:r>
              <w:rPr>
                <w:rFonts w:hint="eastAsia"/>
                <w:sz w:val="22"/>
                <w:szCs w:val="24"/>
              </w:rPr>
              <w:t>0</w:t>
            </w:r>
            <w:r>
              <w:rPr>
                <w:rFonts w:hint="eastAsia"/>
                <w:sz w:val="22"/>
                <w:szCs w:val="24"/>
              </w:rPr>
              <w:t>分评价，价格分</w:t>
            </w:r>
            <w:r>
              <w:rPr>
                <w:rFonts w:hint="eastAsia"/>
                <w:sz w:val="22"/>
                <w:szCs w:val="24"/>
              </w:rPr>
              <w:t>=</w:t>
            </w:r>
            <w:r>
              <w:rPr>
                <w:rFonts w:hint="eastAsia"/>
                <w:sz w:val="22"/>
                <w:szCs w:val="24"/>
              </w:rPr>
              <w:t>（供应商报价</w:t>
            </w:r>
            <w:r>
              <w:rPr>
                <w:rFonts w:hint="eastAsia"/>
                <w:sz w:val="22"/>
                <w:szCs w:val="24"/>
              </w:rPr>
              <w:t>/</w:t>
            </w:r>
            <w:r>
              <w:rPr>
                <w:rFonts w:hint="eastAsia"/>
                <w:sz w:val="22"/>
                <w:szCs w:val="24"/>
              </w:rPr>
              <w:t>价格基准值）</w:t>
            </w:r>
            <w:r>
              <w:rPr>
                <w:rFonts w:hint="eastAsia"/>
                <w:sz w:val="22"/>
                <w:szCs w:val="24"/>
              </w:rPr>
              <w:t>*10</w:t>
            </w:r>
            <w:r>
              <w:rPr>
                <w:rFonts w:hint="eastAsia"/>
                <w:sz w:val="22"/>
                <w:szCs w:val="24"/>
              </w:rPr>
              <w:t>；价格基准值为最高报价。</w:t>
            </w:r>
          </w:p>
        </w:tc>
        <w:tc>
          <w:tcPr>
            <w:tcW w:w="855" w:type="dxa"/>
            <w:tcBorders>
              <w:bottom w:val="single" w:sz="4" w:space="0" w:color="auto"/>
            </w:tcBorders>
            <w:vAlign w:val="center"/>
          </w:tcPr>
          <w:p w14:paraId="44335666" w14:textId="77777777" w:rsidR="00CB1B9F" w:rsidRDefault="003F22F3">
            <w:pPr>
              <w:spacing w:beforeLines="50" w:before="156" w:afterLines="50" w:after="156"/>
              <w:jc w:val="center"/>
              <w:rPr>
                <w:sz w:val="22"/>
              </w:rPr>
            </w:pPr>
            <w:r>
              <w:rPr>
                <w:rFonts w:hint="eastAsia"/>
                <w:sz w:val="22"/>
              </w:rPr>
              <w:t>10</w:t>
            </w:r>
          </w:p>
        </w:tc>
        <w:tc>
          <w:tcPr>
            <w:tcW w:w="965" w:type="dxa"/>
            <w:tcBorders>
              <w:bottom w:val="single" w:sz="4" w:space="0" w:color="auto"/>
            </w:tcBorders>
            <w:vAlign w:val="center"/>
          </w:tcPr>
          <w:p w14:paraId="6925FCB3" w14:textId="77777777" w:rsidR="00CB1B9F" w:rsidRDefault="00CB1B9F">
            <w:pPr>
              <w:spacing w:beforeLines="50" w:before="156" w:afterLines="50" w:after="156"/>
              <w:jc w:val="center"/>
              <w:rPr>
                <w:color w:val="FF0000"/>
                <w:sz w:val="22"/>
              </w:rPr>
            </w:pPr>
          </w:p>
        </w:tc>
      </w:tr>
    </w:tbl>
    <w:p w14:paraId="5921315F" w14:textId="77777777" w:rsidR="00CB1B9F" w:rsidRDefault="00CB1B9F">
      <w:pPr>
        <w:spacing w:line="360" w:lineRule="auto"/>
        <w:ind w:firstLine="480"/>
        <w:rPr>
          <w:b/>
          <w:sz w:val="24"/>
          <w:szCs w:val="21"/>
          <w:highlight w:val="yellow"/>
        </w:rPr>
      </w:pPr>
    </w:p>
    <w:p w14:paraId="7A50C0A5" w14:textId="77777777" w:rsidR="00CB1B9F" w:rsidRDefault="003F22F3">
      <w:pPr>
        <w:spacing w:line="360" w:lineRule="auto"/>
        <w:ind w:firstLine="480"/>
        <w:rPr>
          <w:b/>
          <w:sz w:val="24"/>
          <w:szCs w:val="21"/>
          <w:highlight w:val="yellow"/>
        </w:rPr>
      </w:pPr>
      <w:r>
        <w:rPr>
          <w:rFonts w:hint="eastAsia"/>
          <w:b/>
          <w:sz w:val="24"/>
          <w:szCs w:val="21"/>
          <w:highlight w:val="yellow"/>
        </w:rPr>
        <w:t>政府采购货物和服务招标投标管理办法（财政部令第</w:t>
      </w:r>
      <w:r>
        <w:rPr>
          <w:rFonts w:hint="eastAsia"/>
          <w:b/>
          <w:sz w:val="24"/>
          <w:szCs w:val="21"/>
          <w:highlight w:val="yellow"/>
        </w:rPr>
        <w:t>87</w:t>
      </w:r>
      <w:r>
        <w:rPr>
          <w:rFonts w:hint="eastAsia"/>
          <w:b/>
          <w:sz w:val="24"/>
          <w:szCs w:val="21"/>
          <w:highlight w:val="yellow"/>
        </w:rPr>
        <w:t>号）</w:t>
      </w:r>
    </w:p>
    <w:p w14:paraId="5FE69A7C" w14:textId="77777777" w:rsidR="00CB1B9F" w:rsidRDefault="003F22F3">
      <w:pPr>
        <w:spacing w:line="360" w:lineRule="auto"/>
        <w:ind w:firstLine="480"/>
        <w:rPr>
          <w:b/>
          <w:sz w:val="22"/>
          <w:szCs w:val="20"/>
        </w:rPr>
      </w:pPr>
      <w:r>
        <w:rPr>
          <w:rFonts w:hint="eastAsia"/>
          <w:b/>
          <w:sz w:val="24"/>
          <w:szCs w:val="21"/>
          <w:highlight w:val="yellow"/>
        </w:rPr>
        <w:t>第五十五条</w:t>
      </w:r>
      <w:r>
        <w:rPr>
          <w:rFonts w:hint="eastAsia"/>
          <w:b/>
          <w:sz w:val="24"/>
          <w:szCs w:val="21"/>
          <w:highlight w:val="yellow"/>
        </w:rPr>
        <w:t xml:space="preserve"> </w:t>
      </w:r>
      <w:r>
        <w:rPr>
          <w:rFonts w:hint="eastAsia"/>
          <w:b/>
          <w:sz w:val="24"/>
          <w:szCs w:val="21"/>
          <w:highlight w:val="yellow"/>
        </w:rPr>
        <w:t>综合评分法，是指投标文件满足招标文件全部实质性要求，</w:t>
      </w:r>
      <w:proofErr w:type="gramStart"/>
      <w:r>
        <w:rPr>
          <w:rFonts w:hint="eastAsia"/>
          <w:b/>
          <w:sz w:val="24"/>
          <w:szCs w:val="21"/>
          <w:highlight w:val="yellow"/>
        </w:rPr>
        <w:t>且按照</w:t>
      </w:r>
      <w:proofErr w:type="gramEnd"/>
      <w:r>
        <w:rPr>
          <w:rFonts w:hint="eastAsia"/>
          <w:b/>
          <w:sz w:val="24"/>
          <w:szCs w:val="21"/>
          <w:highlight w:val="yellow"/>
        </w:rPr>
        <w:t>评审因素的量化指标评审得分最高的投标人为中标候选人的评标方法。货物项目的价格</w:t>
      </w:r>
      <w:proofErr w:type="gramStart"/>
      <w:r>
        <w:rPr>
          <w:rFonts w:hint="eastAsia"/>
          <w:b/>
          <w:sz w:val="24"/>
          <w:szCs w:val="21"/>
          <w:highlight w:val="yellow"/>
        </w:rPr>
        <w:t>分值占</w:t>
      </w:r>
      <w:proofErr w:type="gramEnd"/>
      <w:r>
        <w:rPr>
          <w:rFonts w:hint="eastAsia"/>
          <w:b/>
          <w:sz w:val="24"/>
          <w:szCs w:val="21"/>
          <w:highlight w:val="yellow"/>
        </w:rPr>
        <w:t>总分值的比重不得低于</w:t>
      </w:r>
      <w:r>
        <w:rPr>
          <w:rFonts w:hint="eastAsia"/>
          <w:b/>
          <w:sz w:val="24"/>
          <w:szCs w:val="21"/>
          <w:highlight w:val="yellow"/>
        </w:rPr>
        <w:t>30%</w:t>
      </w:r>
      <w:r>
        <w:rPr>
          <w:rFonts w:hint="eastAsia"/>
          <w:b/>
          <w:sz w:val="24"/>
          <w:szCs w:val="21"/>
          <w:highlight w:val="yellow"/>
        </w:rPr>
        <w:t>；服务项目的价格</w:t>
      </w:r>
      <w:proofErr w:type="gramStart"/>
      <w:r>
        <w:rPr>
          <w:rFonts w:hint="eastAsia"/>
          <w:b/>
          <w:sz w:val="24"/>
          <w:szCs w:val="21"/>
          <w:highlight w:val="yellow"/>
        </w:rPr>
        <w:t>分值占</w:t>
      </w:r>
      <w:proofErr w:type="gramEnd"/>
      <w:r>
        <w:rPr>
          <w:rFonts w:hint="eastAsia"/>
          <w:b/>
          <w:sz w:val="24"/>
          <w:szCs w:val="21"/>
          <w:highlight w:val="yellow"/>
        </w:rPr>
        <w:t>总分值的比重不得低于</w:t>
      </w:r>
      <w:r>
        <w:rPr>
          <w:rFonts w:hint="eastAsia"/>
          <w:b/>
          <w:sz w:val="24"/>
          <w:szCs w:val="21"/>
          <w:highlight w:val="yellow"/>
        </w:rPr>
        <w:t>10%</w:t>
      </w:r>
      <w:r>
        <w:rPr>
          <w:rFonts w:hint="eastAsia"/>
          <w:b/>
          <w:sz w:val="24"/>
          <w:szCs w:val="21"/>
          <w:highlight w:val="yellow"/>
        </w:rPr>
        <w:t>。</w:t>
      </w:r>
    </w:p>
    <w:sectPr w:rsidR="00CB1B9F">
      <w:pgSz w:w="11906" w:h="16838"/>
      <w:pgMar w:top="720" w:right="720" w:bottom="720" w:left="72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B195D2"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9B672" w14:textId="77777777" w:rsidR="003F22F3" w:rsidRDefault="003F22F3" w:rsidP="007E7ACF">
      <w:r>
        <w:separator/>
      </w:r>
    </w:p>
  </w:endnote>
  <w:endnote w:type="continuationSeparator" w:id="0">
    <w:p w14:paraId="5F358790" w14:textId="77777777" w:rsidR="003F22F3" w:rsidRDefault="003F22F3" w:rsidP="007E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体">
    <w:altName w:val="仿宋"/>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Futura-Heavy">
    <w:altName w:val="Arial"/>
    <w:charset w:val="00"/>
    <w:family w:val="swiss"/>
    <w:pitch w:val="default"/>
    <w:sig w:usb0="00000000"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72103" w14:textId="77777777" w:rsidR="003F22F3" w:rsidRDefault="003F22F3" w:rsidP="007E7ACF">
      <w:r>
        <w:separator/>
      </w:r>
    </w:p>
  </w:footnote>
  <w:footnote w:type="continuationSeparator" w:id="0">
    <w:p w14:paraId="20E0B273" w14:textId="77777777" w:rsidR="003F22F3" w:rsidRDefault="003F22F3" w:rsidP="007E7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6372D"/>
    <w:multiLevelType w:val="multilevel"/>
    <w:tmpl w:val="1996372D"/>
    <w:lvl w:ilvl="0">
      <w:start w:val="1"/>
      <w:numFmt w:val="decimal"/>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宗帝">
    <w15:presenceInfo w15:providerId="None" w15:userId="黄宗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NTRmNWI5ZWZmZmQ5NWI1NWQ0Y2VjNWU0Zjk1ZjgifQ=="/>
  </w:docVars>
  <w:rsids>
    <w:rsidRoot w:val="00196378"/>
    <w:rsid w:val="000A3DDA"/>
    <w:rsid w:val="000F4202"/>
    <w:rsid w:val="00196378"/>
    <w:rsid w:val="002A717D"/>
    <w:rsid w:val="002D038E"/>
    <w:rsid w:val="003F22F3"/>
    <w:rsid w:val="005915F2"/>
    <w:rsid w:val="005E71CF"/>
    <w:rsid w:val="006963C0"/>
    <w:rsid w:val="007C5D2B"/>
    <w:rsid w:val="007E7ACF"/>
    <w:rsid w:val="008A4AB5"/>
    <w:rsid w:val="009A42B9"/>
    <w:rsid w:val="00A33917"/>
    <w:rsid w:val="00A87FF0"/>
    <w:rsid w:val="00CB1B9F"/>
    <w:rsid w:val="00CE2E6C"/>
    <w:rsid w:val="00E759C9"/>
    <w:rsid w:val="0BA81653"/>
    <w:rsid w:val="0E633770"/>
    <w:rsid w:val="0F807D36"/>
    <w:rsid w:val="0F987405"/>
    <w:rsid w:val="10093E5F"/>
    <w:rsid w:val="164D26B9"/>
    <w:rsid w:val="1A9A14F1"/>
    <w:rsid w:val="22607C8B"/>
    <w:rsid w:val="286957B7"/>
    <w:rsid w:val="37EC5DE0"/>
    <w:rsid w:val="3BF44347"/>
    <w:rsid w:val="432F27D1"/>
    <w:rsid w:val="4AEC7FB0"/>
    <w:rsid w:val="4D711B1B"/>
    <w:rsid w:val="506B52CE"/>
    <w:rsid w:val="50937803"/>
    <w:rsid w:val="50F54C60"/>
    <w:rsid w:val="59312D41"/>
    <w:rsid w:val="5E3C677A"/>
    <w:rsid w:val="68EF7AA4"/>
    <w:rsid w:val="6AA1131A"/>
    <w:rsid w:val="6D46665A"/>
    <w:rsid w:val="6DA50714"/>
    <w:rsid w:val="72C2036B"/>
    <w:rsid w:val="76977080"/>
    <w:rsid w:val="77E37154"/>
    <w:rsid w:val="7A0D775C"/>
    <w:rsid w:val="7ACC1541"/>
    <w:rsid w:val="7AE04614"/>
    <w:rsid w:val="7B892BA7"/>
    <w:rsid w:val="7CDF6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Calibri" w:eastAsia="宋体" w:hAnsi="Calibri" w:cs="Times New Roman"/>
      <w:szCs w:val="24"/>
    </w:rPr>
  </w:style>
  <w:style w:type="paragraph" w:styleId="a4">
    <w:name w:val="annotation text"/>
    <w:basedOn w:val="a"/>
    <w:link w:val="Char0"/>
    <w:uiPriority w:val="99"/>
    <w:unhideWhenUsed/>
    <w:qFormat/>
    <w:pPr>
      <w:jc w:val="left"/>
    </w:pPr>
  </w:style>
  <w:style w:type="paragraph" w:styleId="a5">
    <w:name w:val="Body Text"/>
    <w:basedOn w:val="a"/>
    <w:link w:val="Char1"/>
    <w:qFormat/>
    <w:pPr>
      <w:spacing w:line="360" w:lineRule="auto"/>
    </w:pPr>
    <w:rPr>
      <w:rFonts w:ascii="Times New Roman" w:eastAsia="宋体" w:hAnsi="Times New Roman" w:cs="Times New Roman"/>
      <w:szCs w:val="20"/>
    </w:rPr>
  </w:style>
  <w:style w:type="paragraph" w:styleId="a6">
    <w:name w:val="Body Text Indent"/>
    <w:basedOn w:val="a"/>
    <w:uiPriority w:val="99"/>
    <w:semiHidden/>
    <w:unhideWhenUsed/>
    <w:qFormat/>
    <w:pPr>
      <w:spacing w:after="120"/>
      <w:ind w:leftChars="200" w:left="420"/>
    </w:pPr>
  </w:style>
  <w:style w:type="paragraph" w:styleId="a7">
    <w:name w:val="Plain Text"/>
    <w:basedOn w:val="a"/>
    <w:link w:val="Char2"/>
    <w:qFormat/>
    <w:rPr>
      <w:rFonts w:ascii="宋体" w:eastAsia="宋体" w:hAnsi="Courier New" w:cs="Courier New"/>
      <w:szCs w:val="21"/>
    </w:r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6"/>
    <w:uiPriority w:val="99"/>
    <w:semiHidden/>
    <w:unhideWhenUsed/>
    <w:qFormat/>
    <w:rPr>
      <w:b/>
      <w:bCs/>
    </w:rPr>
  </w:style>
  <w:style w:type="paragraph" w:styleId="2">
    <w:name w:val="Body Text First Indent 2"/>
    <w:basedOn w:val="a6"/>
    <w:uiPriority w:val="99"/>
    <w:unhideWhenUsed/>
    <w:qFormat/>
    <w:pPr>
      <w:ind w:firstLineChars="200" w:firstLine="420"/>
    </w:pPr>
  </w:style>
  <w:style w:type="character" w:styleId="ac">
    <w:name w:val="annotation reference"/>
    <w:basedOn w:val="a0"/>
    <w:uiPriority w:val="99"/>
    <w:semiHidden/>
    <w:unhideWhenUsed/>
    <w:qFormat/>
    <w:rPr>
      <w:sz w:val="21"/>
      <w:szCs w:val="21"/>
    </w:rPr>
  </w:style>
  <w:style w:type="character" w:customStyle="1" w:styleId="Char">
    <w:name w:val="正文缩进 Char"/>
    <w:link w:val="a3"/>
    <w:qFormat/>
    <w:rPr>
      <w:rFonts w:ascii="Calibri" w:eastAsia="宋体" w:hAnsi="Calibri" w:cs="Times New Roman"/>
      <w:szCs w:val="24"/>
    </w:rPr>
  </w:style>
  <w:style w:type="character" w:customStyle="1" w:styleId="Char2">
    <w:name w:val="纯文本 Char"/>
    <w:basedOn w:val="a0"/>
    <w:link w:val="a7"/>
    <w:qFormat/>
    <w:rPr>
      <w:rFonts w:ascii="宋体" w:eastAsia="宋体" w:hAnsi="Courier New" w:cs="Courier New"/>
      <w:szCs w:val="21"/>
    </w:rPr>
  </w:style>
  <w:style w:type="character" w:customStyle="1" w:styleId="Char20">
    <w:name w:val="纯文本 Char2"/>
    <w:qFormat/>
    <w:rPr>
      <w:rFonts w:ascii="宋体" w:eastAsia="宋体" w:hAnsi="Courier New" w:cs="Courier New"/>
      <w:kern w:val="2"/>
      <w:sz w:val="21"/>
      <w:szCs w:val="21"/>
      <w:lang w:val="en-US" w:eastAsia="zh-CN" w:bidi="ar-SA"/>
    </w:rPr>
  </w:style>
  <w:style w:type="character" w:customStyle="1" w:styleId="Char1">
    <w:name w:val="正文文本 Char"/>
    <w:basedOn w:val="a0"/>
    <w:link w:val="a5"/>
    <w:qFormat/>
    <w:rPr>
      <w:rFonts w:ascii="Times New Roman" w:eastAsia="宋体" w:hAnsi="Times New Roman" w:cs="Times New Roman"/>
      <w:szCs w:val="20"/>
    </w:rPr>
  </w:style>
  <w:style w:type="paragraph" w:customStyle="1" w:styleId="TableParagraph">
    <w:name w:val="Table Paragraph"/>
    <w:basedOn w:val="a"/>
    <w:uiPriority w:val="1"/>
    <w:qFormat/>
    <w:rPr>
      <w:rFonts w:ascii="宋体" w:eastAsia="宋体" w:hAnsi="宋体" w:cs="宋体"/>
      <w:szCs w:val="24"/>
      <w:lang w:val="zh-CN" w:bidi="zh-CN"/>
    </w:rPr>
  </w:style>
  <w:style w:type="paragraph" w:styleId="ad">
    <w:name w:val="List Paragraph"/>
    <w:basedOn w:val="a"/>
    <w:uiPriority w:val="99"/>
    <w:qFormat/>
    <w:pPr>
      <w:ind w:firstLineChars="200" w:firstLine="420"/>
    </w:pPr>
  </w:style>
  <w:style w:type="paragraph" w:customStyle="1" w:styleId="Style3">
    <w:name w:val="_Style 3"/>
    <w:basedOn w:val="a"/>
    <w:next w:val="ad"/>
    <w:uiPriority w:val="34"/>
    <w:qFormat/>
    <w:pPr>
      <w:widowControl/>
      <w:spacing w:line="240" w:lineRule="atLeast"/>
      <w:ind w:firstLineChars="200" w:firstLine="420"/>
    </w:pPr>
    <w:rPr>
      <w:rFonts w:ascii="仿宋体" w:eastAsia="Arial" w:hAnsi="仿宋体" w:cs="Arial"/>
      <w:sz w:val="24"/>
      <w:szCs w:val="24"/>
    </w:rPr>
  </w:style>
  <w:style w:type="character" w:customStyle="1" w:styleId="Char0">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6">
    <w:name w:val="批注主题 Char"/>
    <w:basedOn w:val="Char0"/>
    <w:link w:val="ab"/>
    <w:uiPriority w:val="99"/>
    <w:semiHidden/>
    <w:qFormat/>
    <w:rPr>
      <w:rFonts w:asciiTheme="minorHAnsi" w:eastAsiaTheme="minorEastAsia" w:hAnsiTheme="minorHAnsi" w:cstheme="minorBidi"/>
      <w:b/>
      <w:bCs/>
      <w:kern w:val="2"/>
      <w:sz w:val="21"/>
      <w:szCs w:val="22"/>
    </w:rPr>
  </w:style>
  <w:style w:type="character" w:customStyle="1" w:styleId="Char3">
    <w:name w:val="批注框文本 Char"/>
    <w:basedOn w:val="a0"/>
    <w:link w:val="a8"/>
    <w:uiPriority w:val="99"/>
    <w:semiHidden/>
    <w:qFormat/>
    <w:rPr>
      <w:rFonts w:asciiTheme="minorHAnsi" w:eastAsiaTheme="minorEastAsia" w:hAnsiTheme="minorHAnsi" w:cstheme="minorBidi"/>
      <w:kern w:val="2"/>
      <w:sz w:val="18"/>
      <w:szCs w:val="18"/>
    </w:rPr>
  </w:style>
  <w:style w:type="character" w:customStyle="1" w:styleId="Char5">
    <w:name w:val="页眉 Char"/>
    <w:basedOn w:val="a0"/>
    <w:link w:val="aa"/>
    <w:uiPriority w:val="99"/>
    <w:rPr>
      <w:rFonts w:asciiTheme="minorHAnsi" w:eastAsiaTheme="minorEastAsia" w:hAnsiTheme="minorHAnsi" w:cstheme="minorBidi"/>
      <w:kern w:val="2"/>
      <w:sz w:val="18"/>
      <w:szCs w:val="18"/>
    </w:rPr>
  </w:style>
  <w:style w:type="character" w:customStyle="1" w:styleId="Char4">
    <w:name w:val="页脚 Char"/>
    <w:basedOn w:val="a0"/>
    <w:link w:val="a9"/>
    <w:uiPriority w:val="9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Calibri" w:eastAsia="宋体" w:hAnsi="Calibri" w:cs="Times New Roman"/>
      <w:szCs w:val="24"/>
    </w:rPr>
  </w:style>
  <w:style w:type="paragraph" w:styleId="a4">
    <w:name w:val="annotation text"/>
    <w:basedOn w:val="a"/>
    <w:link w:val="Char0"/>
    <w:uiPriority w:val="99"/>
    <w:unhideWhenUsed/>
    <w:qFormat/>
    <w:pPr>
      <w:jc w:val="left"/>
    </w:pPr>
  </w:style>
  <w:style w:type="paragraph" w:styleId="a5">
    <w:name w:val="Body Text"/>
    <w:basedOn w:val="a"/>
    <w:link w:val="Char1"/>
    <w:qFormat/>
    <w:pPr>
      <w:spacing w:line="360" w:lineRule="auto"/>
    </w:pPr>
    <w:rPr>
      <w:rFonts w:ascii="Times New Roman" w:eastAsia="宋体" w:hAnsi="Times New Roman" w:cs="Times New Roman"/>
      <w:szCs w:val="20"/>
    </w:rPr>
  </w:style>
  <w:style w:type="paragraph" w:styleId="a6">
    <w:name w:val="Body Text Indent"/>
    <w:basedOn w:val="a"/>
    <w:uiPriority w:val="99"/>
    <w:semiHidden/>
    <w:unhideWhenUsed/>
    <w:qFormat/>
    <w:pPr>
      <w:spacing w:after="120"/>
      <w:ind w:leftChars="200" w:left="420"/>
    </w:pPr>
  </w:style>
  <w:style w:type="paragraph" w:styleId="a7">
    <w:name w:val="Plain Text"/>
    <w:basedOn w:val="a"/>
    <w:link w:val="Char2"/>
    <w:qFormat/>
    <w:rPr>
      <w:rFonts w:ascii="宋体" w:eastAsia="宋体" w:hAnsi="Courier New" w:cs="Courier New"/>
      <w:szCs w:val="21"/>
    </w:r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6"/>
    <w:uiPriority w:val="99"/>
    <w:semiHidden/>
    <w:unhideWhenUsed/>
    <w:qFormat/>
    <w:rPr>
      <w:b/>
      <w:bCs/>
    </w:rPr>
  </w:style>
  <w:style w:type="paragraph" w:styleId="2">
    <w:name w:val="Body Text First Indent 2"/>
    <w:basedOn w:val="a6"/>
    <w:uiPriority w:val="99"/>
    <w:unhideWhenUsed/>
    <w:qFormat/>
    <w:pPr>
      <w:ind w:firstLineChars="200" w:firstLine="420"/>
    </w:pPr>
  </w:style>
  <w:style w:type="character" w:styleId="ac">
    <w:name w:val="annotation reference"/>
    <w:basedOn w:val="a0"/>
    <w:uiPriority w:val="99"/>
    <w:semiHidden/>
    <w:unhideWhenUsed/>
    <w:qFormat/>
    <w:rPr>
      <w:sz w:val="21"/>
      <w:szCs w:val="21"/>
    </w:rPr>
  </w:style>
  <w:style w:type="character" w:customStyle="1" w:styleId="Char">
    <w:name w:val="正文缩进 Char"/>
    <w:link w:val="a3"/>
    <w:qFormat/>
    <w:rPr>
      <w:rFonts w:ascii="Calibri" w:eastAsia="宋体" w:hAnsi="Calibri" w:cs="Times New Roman"/>
      <w:szCs w:val="24"/>
    </w:rPr>
  </w:style>
  <w:style w:type="character" w:customStyle="1" w:styleId="Char2">
    <w:name w:val="纯文本 Char"/>
    <w:basedOn w:val="a0"/>
    <w:link w:val="a7"/>
    <w:qFormat/>
    <w:rPr>
      <w:rFonts w:ascii="宋体" w:eastAsia="宋体" w:hAnsi="Courier New" w:cs="Courier New"/>
      <w:szCs w:val="21"/>
    </w:rPr>
  </w:style>
  <w:style w:type="character" w:customStyle="1" w:styleId="Char20">
    <w:name w:val="纯文本 Char2"/>
    <w:qFormat/>
    <w:rPr>
      <w:rFonts w:ascii="宋体" w:eastAsia="宋体" w:hAnsi="Courier New" w:cs="Courier New"/>
      <w:kern w:val="2"/>
      <w:sz w:val="21"/>
      <w:szCs w:val="21"/>
      <w:lang w:val="en-US" w:eastAsia="zh-CN" w:bidi="ar-SA"/>
    </w:rPr>
  </w:style>
  <w:style w:type="character" w:customStyle="1" w:styleId="Char1">
    <w:name w:val="正文文本 Char"/>
    <w:basedOn w:val="a0"/>
    <w:link w:val="a5"/>
    <w:qFormat/>
    <w:rPr>
      <w:rFonts w:ascii="Times New Roman" w:eastAsia="宋体" w:hAnsi="Times New Roman" w:cs="Times New Roman"/>
      <w:szCs w:val="20"/>
    </w:rPr>
  </w:style>
  <w:style w:type="paragraph" w:customStyle="1" w:styleId="TableParagraph">
    <w:name w:val="Table Paragraph"/>
    <w:basedOn w:val="a"/>
    <w:uiPriority w:val="1"/>
    <w:qFormat/>
    <w:rPr>
      <w:rFonts w:ascii="宋体" w:eastAsia="宋体" w:hAnsi="宋体" w:cs="宋体"/>
      <w:szCs w:val="24"/>
      <w:lang w:val="zh-CN" w:bidi="zh-CN"/>
    </w:rPr>
  </w:style>
  <w:style w:type="paragraph" w:styleId="ad">
    <w:name w:val="List Paragraph"/>
    <w:basedOn w:val="a"/>
    <w:uiPriority w:val="99"/>
    <w:qFormat/>
    <w:pPr>
      <w:ind w:firstLineChars="200" w:firstLine="420"/>
    </w:pPr>
  </w:style>
  <w:style w:type="paragraph" w:customStyle="1" w:styleId="Style3">
    <w:name w:val="_Style 3"/>
    <w:basedOn w:val="a"/>
    <w:next w:val="ad"/>
    <w:uiPriority w:val="34"/>
    <w:qFormat/>
    <w:pPr>
      <w:widowControl/>
      <w:spacing w:line="240" w:lineRule="atLeast"/>
      <w:ind w:firstLineChars="200" w:firstLine="420"/>
    </w:pPr>
    <w:rPr>
      <w:rFonts w:ascii="仿宋体" w:eastAsia="Arial" w:hAnsi="仿宋体" w:cs="Arial"/>
      <w:sz w:val="24"/>
      <w:szCs w:val="24"/>
    </w:rPr>
  </w:style>
  <w:style w:type="character" w:customStyle="1" w:styleId="Char0">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6">
    <w:name w:val="批注主题 Char"/>
    <w:basedOn w:val="Char0"/>
    <w:link w:val="ab"/>
    <w:uiPriority w:val="99"/>
    <w:semiHidden/>
    <w:qFormat/>
    <w:rPr>
      <w:rFonts w:asciiTheme="minorHAnsi" w:eastAsiaTheme="minorEastAsia" w:hAnsiTheme="minorHAnsi" w:cstheme="minorBidi"/>
      <w:b/>
      <w:bCs/>
      <w:kern w:val="2"/>
      <w:sz w:val="21"/>
      <w:szCs w:val="22"/>
    </w:rPr>
  </w:style>
  <w:style w:type="character" w:customStyle="1" w:styleId="Char3">
    <w:name w:val="批注框文本 Char"/>
    <w:basedOn w:val="a0"/>
    <w:link w:val="a8"/>
    <w:uiPriority w:val="99"/>
    <w:semiHidden/>
    <w:qFormat/>
    <w:rPr>
      <w:rFonts w:asciiTheme="minorHAnsi" w:eastAsiaTheme="minorEastAsia" w:hAnsiTheme="minorHAnsi" w:cstheme="minorBidi"/>
      <w:kern w:val="2"/>
      <w:sz w:val="18"/>
      <w:szCs w:val="18"/>
    </w:rPr>
  </w:style>
  <w:style w:type="character" w:customStyle="1" w:styleId="Char5">
    <w:name w:val="页眉 Char"/>
    <w:basedOn w:val="a0"/>
    <w:link w:val="aa"/>
    <w:uiPriority w:val="99"/>
    <w:rPr>
      <w:rFonts w:asciiTheme="minorHAnsi" w:eastAsiaTheme="minorEastAsia" w:hAnsiTheme="minorHAnsi" w:cstheme="minorBidi"/>
      <w:kern w:val="2"/>
      <w:sz w:val="18"/>
      <w:szCs w:val="18"/>
    </w:rPr>
  </w:style>
  <w:style w:type="character" w:customStyle="1" w:styleId="Char4">
    <w:name w:val="页脚 Char"/>
    <w:basedOn w:val="a0"/>
    <w:link w:val="a9"/>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ZSY</dc:creator>
  <cp:lastModifiedBy>黄宗帝</cp:lastModifiedBy>
  <cp:revision>9</cp:revision>
  <dcterms:created xsi:type="dcterms:W3CDTF">2021-07-23T01:33:00Z</dcterms:created>
  <dcterms:modified xsi:type="dcterms:W3CDTF">2026-06-22T07:00:00Z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E02D656A675C4E1DB89AEF737166458F_13</vt:lpwstr>
  </property>
  <property fmtid="{D5CDD505-2E9C-101B-9397-08002B2CF9AE}" pid="4" name="KSOTemplateDocerSaveRecord">
    <vt:lpwstr>eyJoZGlkIjoiODhkMjkxOWZkODI3ODI4MzA3OGUyODQyZDJhYjQzN2IifQ==</vt:lpwstr>
  </property>
</Properties>
</file>